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2629C9F5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4209E">
        <w:t>f</w:t>
      </w:r>
    </w:p>
    <w:p w14:paraId="1814FA20" w14:textId="62D7A54E" w:rsidR="005A5EF9" w:rsidRDefault="005A5EF9" w:rsidP="005A5EF9">
      <w:pPr>
        <w:pStyle w:val="YellowBarHeading2"/>
      </w:pPr>
    </w:p>
    <w:p w14:paraId="5DCE5DD0" w14:textId="2BBDE1E2" w:rsidR="006F582B" w:rsidRDefault="32649693" w:rsidP="006F582B">
      <w:pPr>
        <w:pStyle w:val="Heading2"/>
      </w:pPr>
      <w:r>
        <w:t>Capacity Auction</w:t>
      </w:r>
      <w:r w:rsidR="00B4209E">
        <w:t xml:space="preserve"> Enhancements</w:t>
      </w:r>
      <w:r>
        <w:t xml:space="preserve"> </w:t>
      </w:r>
      <w:r w:rsidR="007A1A30">
        <w:t xml:space="preserve">– </w:t>
      </w:r>
      <w:r w:rsidR="00861F85">
        <w:t>February, 22</w:t>
      </w:r>
      <w:r w:rsidR="007A1A30">
        <w:t xml:space="preserve">, </w:t>
      </w:r>
      <w:r w:rsidR="00861F85">
        <w:t>2023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432486A7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11" w:history="1">
        <w:r w:rsidR="00B4209E" w:rsidRPr="00B4209E">
          <w:rPr>
            <w:rStyle w:val="Hyperlink"/>
            <w:noProof w:val="0"/>
            <w:lang w:val="en-US" w:eastAsia="en-US"/>
            <w14:ligatures w14:val="standard"/>
          </w:rPr>
          <w:t>Capacity Auction Enhancements</w:t>
        </w:r>
      </w:hyperlink>
      <w:r w:rsidR="00B4209E">
        <w:rPr>
          <w:lang w:val="en-US"/>
        </w:rPr>
        <w:t xml:space="preserve"> web page</w:t>
      </w:r>
      <w:r w:rsidRPr="00740728">
        <w:rPr>
          <w:lang w:val="en-US"/>
        </w:rPr>
        <w:t xml:space="preserve"> unless otherwise requested by the sender.</w:t>
      </w:r>
    </w:p>
    <w:p w14:paraId="72EFAA0A" w14:textId="5C62B1ED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DD2E46">
        <w:rPr>
          <w:rFonts w:eastAsiaTheme="minorEastAsia" w:cs="Tahoma"/>
          <w:szCs w:val="22"/>
          <w:lang w:val="en-US"/>
        </w:rPr>
        <w:t>February 22, 2023,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="00DD2E46">
        <w:rPr>
          <w:rFonts w:eastAsiaTheme="minorEastAsia" w:cs="Tahoma"/>
          <w:szCs w:val="22"/>
          <w:lang w:val="en-US"/>
        </w:rPr>
        <w:t xml:space="preserve">eedback </w:t>
      </w:r>
      <w:r w:rsidRPr="00555588">
        <w:rPr>
          <w:rFonts w:eastAsiaTheme="minorEastAsia" w:cs="Tahoma"/>
          <w:szCs w:val="22"/>
          <w:lang w:val="en-US"/>
        </w:rPr>
        <w:t xml:space="preserve">on </w:t>
      </w:r>
      <w:r w:rsidR="00DD2E46">
        <w:rPr>
          <w:rFonts w:eastAsiaTheme="minorEastAsia" w:cs="Tahoma"/>
          <w:szCs w:val="22"/>
          <w:lang w:val="en-US"/>
        </w:rPr>
        <w:t>the updates to the implementation timelines for the Performance Adjustment Factor (PAF) design discussed during the webinar</w:t>
      </w:r>
      <w:r w:rsidRPr="00555588">
        <w:rPr>
          <w:rFonts w:eastAsiaTheme="minorEastAsia" w:cs="Tahoma"/>
          <w:szCs w:val="22"/>
          <w:lang w:val="en-US"/>
        </w:rPr>
        <w:t xml:space="preserve">. The webinar presentation and recording can be accessed from the </w:t>
      </w:r>
      <w:hyperlink r:id="rId12" w:history="1">
        <w:r w:rsidRPr="00B4209E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2E9890D7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3" w:history="1">
        <w:r w:rsidR="00B4209E" w:rsidRPr="00B4209E">
          <w:rPr>
            <w:rStyle w:val="Hyperlink"/>
          </w:rPr>
          <w:t>engagement@ieso.ca</w:t>
        </w:r>
      </w:hyperlink>
      <w:r w:rsidR="00B4209E" w:rsidRPr="00B4209E">
        <w:rPr>
          <w:rStyle w:val="Hyperlink"/>
          <w:u w:val="none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90718A" w:rsidRPr="0090718A">
        <w:rPr>
          <w:rFonts w:eastAsiaTheme="minorEastAsia" w:cs="Tahoma"/>
          <w:b/>
          <w:color w:val="auto"/>
          <w:szCs w:val="22"/>
          <w:lang w:val="en-US"/>
        </w:rPr>
        <w:t>M</w:t>
      </w:r>
      <w:r w:rsidR="00861F85">
        <w:rPr>
          <w:rFonts w:eastAsiaTheme="minorEastAsia" w:cs="Tahoma"/>
          <w:b/>
          <w:color w:val="auto"/>
          <w:szCs w:val="22"/>
          <w:lang w:val="en-US"/>
        </w:rPr>
        <w:t>arch 8</w:t>
      </w:r>
      <w:r w:rsidR="0090718A" w:rsidRPr="0090718A">
        <w:rPr>
          <w:rFonts w:eastAsiaTheme="minorEastAsia" w:cs="Tahoma"/>
          <w:b/>
          <w:color w:val="auto"/>
          <w:szCs w:val="22"/>
          <w:lang w:val="en-US"/>
        </w:rPr>
        <w:t>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7375F5E0" w:rsidR="00C04795" w:rsidRPr="004200EA" w:rsidRDefault="00C04795" w:rsidP="00EF1F49">
      <w:pPr>
        <w:pStyle w:val="Heading3"/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42D7DAE6" w:rsidR="004200EA" w:rsidRPr="006B7128" w:rsidRDefault="00DD2E46" w:rsidP="00152614">
            <w:r>
              <w:t>Does</w:t>
            </w:r>
            <w:r w:rsidR="0090718A">
              <w:t xml:space="preserve"> this update </w:t>
            </w:r>
            <w:r>
              <w:t>address</w:t>
            </w:r>
            <w:r w:rsidR="0090718A">
              <w:t xml:space="preserve"> the concern raised that the </w:t>
            </w:r>
            <w:r>
              <w:t>Performance Adjustment Factor (</w:t>
            </w:r>
            <w:r w:rsidR="0090718A">
              <w:t>PAF</w:t>
            </w:r>
            <w:r>
              <w:t>)</w:t>
            </w:r>
            <w:r w:rsidR="0090718A">
              <w:t xml:space="preserve"> would be applied to a significantly different aggregator portfolio in later years</w:t>
            </w:r>
            <w:r>
              <w:t xml:space="preserve">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45A9AD34" w:rsidR="004200EA" w:rsidRPr="006D7540" w:rsidRDefault="004200EA" w:rsidP="00CB05BA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p w14:paraId="0EA7A0E8" w14:textId="3E252430" w:rsidR="00D56CDF" w:rsidRPr="003B554C" w:rsidRDefault="00D56CDF" w:rsidP="00456376">
      <w:pPr>
        <w:pStyle w:val="BodyText"/>
      </w:pPr>
      <w:bookmarkStart w:id="1" w:name="_GoBack"/>
      <w:bookmarkEnd w:id="0"/>
      <w:bookmarkEnd w:id="1"/>
    </w:p>
    <w:sectPr w:rsidR="00D56CDF" w:rsidRPr="003B554C" w:rsidSect="003E040F">
      <w:footerReference w:type="default" r:id="rId14"/>
      <w:footerReference w:type="first" r:id="rId15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C46E1DE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627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1484558" w:rsidR="00C6016F" w:rsidRDefault="00861F85" w:rsidP="00871E07">
    <w:pPr>
      <w:pStyle w:val="Footer"/>
      <w:ind w:right="360"/>
    </w:pPr>
    <w:r>
      <w:t>Capacity Auction</w:t>
    </w:r>
    <w:r w:rsidR="00CB6270">
      <w:t xml:space="preserve"> Enhancements</w:t>
    </w:r>
    <w:r>
      <w:t xml:space="preserve">, </w:t>
    </w:r>
    <w:r w:rsidR="00152614">
      <w:t>22</w:t>
    </w:r>
    <w:r w:rsidR="00FC7434">
      <w:t>/</w:t>
    </w:r>
    <w:r>
      <w:t>February</w:t>
    </w:r>
    <w:r w:rsidR="00FC7434">
      <w:t>/</w:t>
    </w:r>
    <w:r w:rsidR="00152614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163984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B627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52614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1F85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0718A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09E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B6270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2E46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1BE41432"/>
    <w:rsid w:val="303CEA41"/>
    <w:rsid w:val="32649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agement@ieso.ca?subject=CA%20Enhancements%20Feedbac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eso.ca/en/Sector-Participants/Engagement-Initiatives/Engagements/Capacity-Auction-Enhancement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Capacity-Auction-Enhanc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4C92A-6686-4AF8-8C58-71CA92AC4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C93A2-0BAB-459A-94C3-9E9C13EBC62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73cce62-d354-49ee-a291-01c731dc7929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D00924-A96B-47DE-AEF0-4B7E80A9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Auction Enhancements – February, 22, 2023 Feedback Form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2023-02-17T16:26:00Z</dcterms:created>
  <dcterms:modified xsi:type="dcterms:W3CDTF">2023-02-17T16:59:00Z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