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0D5324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43953EC" w14:textId="45276B46" w:rsidR="00D56AEC" w:rsidRDefault="65159CA7" w:rsidP="00456376">
      <w:pPr>
        <w:pStyle w:val="BodyText"/>
      </w:pPr>
      <w:r>
        <w:t xml:space="preserve"> </w:t>
      </w:r>
      <w:r w:rsidR="0035658F">
        <w:rPr>
          <w:noProof/>
        </w:rPr>
        <mc:AlternateContent>
          <mc:Choice Requires="wps">
            <w:drawing>
              <wp:inline distT="0" distB="0" distL="114300" distR="114300" wp14:anchorId="3E8EFD74" wp14:editId="320E9ABB">
                <wp:extent cx="6281928" cy="1463040"/>
                <wp:effectExtent l="0" t="0" r="5080" b="0"/>
                <wp:docPr id="1489805825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2D47E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8EFD74" id="Rectangle 4" o:spid="_x0000_s1027" alt="Decorative" style="width:494.65pt;height:1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7CA2D47E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814FA20" w14:textId="249F21E8" w:rsidR="005A5EF9" w:rsidRDefault="005A5EF9" w:rsidP="005A5EF9">
      <w:pPr>
        <w:pStyle w:val="YellowBarHeading2"/>
      </w:pPr>
    </w:p>
    <w:p w14:paraId="004D1E54" w14:textId="77777777" w:rsidR="008015DA" w:rsidRPr="008015DA" w:rsidRDefault="008015DA" w:rsidP="008015DA">
      <w:pPr>
        <w:spacing w:after="520" w:line="520" w:lineRule="exact"/>
        <w:outlineLvl w:val="1"/>
        <w:rPr>
          <w:rFonts w:eastAsiaTheme="majorEastAsia" w:cs="Times New Roman (Headings CS)"/>
          <w:color w:val="003366" w:themeColor="text2"/>
          <w:kern w:val="2"/>
          <w:sz w:val="40"/>
          <w:szCs w:val="26"/>
          <w14:ligatures w14:val="standard"/>
          <w14:numForm w14:val="lining"/>
          <w14:numSpacing w14:val="tabular"/>
        </w:rPr>
      </w:pPr>
      <w:r w:rsidRPr="008015DA">
        <w:rPr>
          <w:rFonts w:eastAsiaTheme="majorEastAsia" w:cs="Times New Roman (Headings CS)"/>
          <w:color w:val="003366" w:themeColor="text2"/>
          <w:kern w:val="2"/>
          <w:sz w:val="40"/>
          <w:szCs w:val="26"/>
          <w14:ligatures w14:val="standard"/>
          <w14:numForm w14:val="lining"/>
          <w14:numSpacing w14:val="tabular"/>
        </w:rPr>
        <w:t xml:space="preserve">Transmitter Selection Framework – February 29, 2024 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25663923" w14:textId="6668B335" w:rsidR="008015DA" w:rsidRPr="00555588" w:rsidRDefault="008015DA" w:rsidP="008015DA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>
        <w:rPr>
          <w:rFonts w:eastAsiaTheme="minorEastAsia" w:cs="Tahoma"/>
          <w:szCs w:val="22"/>
          <w:lang w:val="en-US"/>
        </w:rPr>
        <w:t>February 29, 2024 Transmitter Selection Framework (TSF) focused engagement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>
        <w:rPr>
          <w:rFonts w:eastAsiaTheme="minorEastAsia" w:cs="Tahoma"/>
          <w:szCs w:val="22"/>
          <w:lang w:val="en-US"/>
        </w:rPr>
        <w:t>session</w:t>
      </w:r>
      <w:r w:rsidRPr="00555588">
        <w:rPr>
          <w:rFonts w:eastAsiaTheme="minorEastAsia" w:cs="Tahoma"/>
          <w:szCs w:val="22"/>
          <w:lang w:val="en-US"/>
        </w:rPr>
        <w:t xml:space="preserve">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Pr="00A75A6E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6E33494B" w14:textId="77777777" w:rsidR="008015DA" w:rsidRDefault="008015DA" w:rsidP="008015DA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>
        <w:rPr>
          <w:rFonts w:eastAsiaTheme="minorEastAsia" w:cs="Tahoma"/>
          <w:b/>
          <w:color w:val="FF0000"/>
          <w:szCs w:val="22"/>
          <w:lang w:val="en-US"/>
        </w:rPr>
        <w:t>March 20</w:t>
      </w:r>
      <w:r w:rsidRPr="00706FDE">
        <w:rPr>
          <w:rFonts w:eastAsiaTheme="minorEastAsia" w:cs="Tahoma"/>
          <w:b/>
          <w:color w:val="FF0000"/>
          <w:szCs w:val="22"/>
          <w:lang w:val="en-US"/>
        </w:rPr>
        <w:t>, 202</w:t>
      </w:r>
      <w:r>
        <w:rPr>
          <w:rFonts w:eastAsiaTheme="minorEastAsia" w:cs="Tahoma"/>
          <w:b/>
          <w:color w:val="FF0000"/>
          <w:szCs w:val="22"/>
          <w:lang w:val="en-US"/>
        </w:rPr>
        <w:t>4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6207DE37" w:rsidR="00C04795" w:rsidRPr="004200EA" w:rsidRDefault="00C04795" w:rsidP="00EF1F49">
      <w:pPr>
        <w:pStyle w:val="Heading3"/>
      </w:pPr>
      <w:bookmarkStart w:id="1" w:name="_Toc35868671"/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4EA1EF0" w14:textId="77777777" w:rsidR="008015DA" w:rsidRDefault="008015DA" w:rsidP="008015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-US"/>
              </w:rPr>
              <w:t>Do you have any suggestions for future Focused Engagement Sessions topics?</w:t>
            </w:r>
          </w:p>
          <w:p w14:paraId="05D9C244" w14:textId="25DFC736" w:rsidR="004200EA" w:rsidRPr="006B7128" w:rsidRDefault="004200EA" w:rsidP="00EF1F49">
            <w:pPr>
              <w:pStyle w:val="TableNumeralsLeftAlignment"/>
            </w:pP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2E5FA553" w14:textId="77777777" w:rsidR="008015DA" w:rsidRDefault="008015DA" w:rsidP="008015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-US"/>
              </w:rPr>
              <w:t>Do you have any initial thoughts around the procurement process to select transmitters for specific transmission projects in Ontario under a future TSF (e.g., the use of an RFP)? </w:t>
            </w:r>
          </w:p>
          <w:p w14:paraId="70123BC0" w14:textId="41FD52D6" w:rsidR="003D0BE4" w:rsidRPr="006B7128" w:rsidRDefault="003D0BE4" w:rsidP="00EF1F49">
            <w:pPr>
              <w:pStyle w:val="TableNumeralsLeftAlignment"/>
            </w:pP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543C9A18"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5BE3AB" w14:textId="6B8F3CCE" w:rsidR="00915C81" w:rsidRDefault="00915C81" w:rsidP="00915C81">
      <w:pPr>
        <w:pStyle w:val="Heading3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14:paraId="317848A2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38097951" w14:textId="77777777" w:rsidR="008015DA" w:rsidRDefault="008015DA" w:rsidP="008015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-US"/>
              </w:rPr>
              <w:t>IESO has highlighted several transmitter qualification approaches; Do communities and stakeholders have any concerns around the development of a registry for qualified transmitters for competitive transmission project procurements? What Criteria should the IESO consider in qualifying transmitters? </w:t>
            </w:r>
          </w:p>
          <w:p w14:paraId="6E873E33" w14:textId="3486F248" w:rsidR="00915C81" w:rsidRPr="006B7128" w:rsidRDefault="00915C81" w:rsidP="00050EB5">
            <w:pPr>
              <w:pStyle w:val="TableNumeralsLeftAlignment"/>
            </w:pP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56A1214" w14:textId="7977BA4D"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E11424" w14:textId="25280CEA" w:rsidR="00C37949" w:rsidRDefault="00C37949" w:rsidP="00C37949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14:paraId="77A6492A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AE34B9C" w14:textId="77777777" w:rsidR="00050EB5" w:rsidRPr="003A3754" w:rsidRDefault="00050EB5" w:rsidP="00081167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CD878FC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117313CF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17790D7" w14:textId="77777777" w:rsidR="008015DA" w:rsidRDefault="008015DA" w:rsidP="008015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-US"/>
              </w:rPr>
              <w:t>IESO is considering recommending the use of the bid-based approach for the initial transmission procurements under the future TSF; Do communities and stakeholders have any feedback on this approach?</w:t>
            </w:r>
          </w:p>
          <w:p w14:paraId="4151C67F" w14:textId="553AF28B" w:rsidR="00050EB5" w:rsidRPr="006B7128" w:rsidRDefault="00050EB5" w:rsidP="00081167">
            <w:pPr>
              <w:pStyle w:val="TableNumeralsLeftAlignment"/>
            </w:pPr>
          </w:p>
        </w:tc>
        <w:sdt>
          <w:sdtPr>
            <w:id w:val="-420329485"/>
            <w:placeholder>
              <w:docPart w:val="AAE7D3A612E6466DBDB1B7F29D1C234B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938C1E3" w14:textId="4C7527FB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09F31FF" w14:textId="72551C63" w:rsidR="00050EB5" w:rsidRDefault="00050EB5" w:rsidP="00050EB5">
      <w:pPr>
        <w:pStyle w:val="Heading3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050EB5" w:rsidRPr="006B7128" w14:paraId="4BB1A44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664DD216" w14:textId="77777777" w:rsidR="00050EB5" w:rsidRPr="003A3754" w:rsidRDefault="00050EB5" w:rsidP="00081167">
            <w:pPr>
              <w:pStyle w:val="TableHeaderLeftAlignment"/>
            </w:pPr>
            <w:r>
              <w:lastRenderedPageBreak/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528176A6" w14:textId="77777777" w:rsidR="00050EB5" w:rsidRPr="006B7128" w:rsidRDefault="00050EB5" w:rsidP="0008116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0EB5" w:rsidRPr="006B7128" w14:paraId="484BDD3F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F3D1548" w14:textId="77777777" w:rsidR="008015DA" w:rsidRDefault="008015DA" w:rsidP="008015D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eastAsia="Times New Roman"/>
                <w:lang w:val="en-US"/>
              </w:rPr>
              <w:t>IESO is hoping to strike the right balance with cost containment and risk allocation approaches to ensure opportunities under the TSF promote competition while protecting ratepayers; Do communities and stakeholders have any feedback on the utilization of a Risk Allocation methodology and/or have any feedback about the allocation of specific risks?      </w:t>
            </w:r>
          </w:p>
          <w:p w14:paraId="78F84029" w14:textId="01A2D7CA" w:rsidR="00050EB5" w:rsidRPr="006B7128" w:rsidRDefault="00050EB5" w:rsidP="00081167">
            <w:pPr>
              <w:pStyle w:val="TableNumeralsLeftAlignment"/>
            </w:pPr>
          </w:p>
        </w:tc>
        <w:sdt>
          <w:sdtPr>
            <w:id w:val="-915473584"/>
            <w:placeholder>
              <w:docPart w:val="9C371C4495304FE0B43510CCCDE96F3C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6C25536" w14:textId="51D03860" w:rsidR="00050EB5" w:rsidRPr="006D7540" w:rsidRDefault="00F832B8" w:rsidP="00081167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173918E" w14:textId="59F4DDC2" w:rsidR="00050EB5" w:rsidRDefault="00050EB5" w:rsidP="00050EB5">
      <w:pPr>
        <w:pStyle w:val="BodyText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1" w:displacedByCustomXml="prev"/>
    <w:sectPr w:rsidR="00D56CDF" w:rsidRPr="003B554C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B1A98" w14:textId="77777777" w:rsidR="00B21D4B" w:rsidRDefault="00B21D4B" w:rsidP="00F83314">
      <w:r>
        <w:separator/>
      </w:r>
    </w:p>
    <w:p w14:paraId="020810AA" w14:textId="77777777" w:rsidR="00B21D4B" w:rsidRDefault="00B21D4B"/>
  </w:endnote>
  <w:endnote w:type="continuationSeparator" w:id="0">
    <w:p w14:paraId="1EA15A28" w14:textId="77777777" w:rsidR="00B21D4B" w:rsidRDefault="00B21D4B" w:rsidP="00F83314">
      <w:r>
        <w:continuationSeparator/>
      </w:r>
    </w:p>
    <w:p w14:paraId="2F0C6366" w14:textId="77777777" w:rsidR="00B21D4B" w:rsidRDefault="00B21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DF4A23A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A1FD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6FD03DF4" w:rsidR="00C6016F" w:rsidRDefault="008015DA" w:rsidP="00871E07">
    <w:pPr>
      <w:pStyle w:val="Footer"/>
      <w:ind w:right="360"/>
    </w:pPr>
    <w:r>
      <w:t>Transmitter Selection Framework – February 29,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6DFED08F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AA1FD5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EB4DA" w14:textId="77777777" w:rsidR="00B21D4B" w:rsidRDefault="00B21D4B">
      <w:r>
        <w:separator/>
      </w:r>
    </w:p>
  </w:footnote>
  <w:footnote w:type="continuationSeparator" w:id="0">
    <w:p w14:paraId="3600135C" w14:textId="77777777" w:rsidR="00B21D4B" w:rsidRDefault="00B21D4B" w:rsidP="00F83314">
      <w:r>
        <w:continuationSeparator/>
      </w:r>
    </w:p>
    <w:p w14:paraId="3BF393C7" w14:textId="77777777" w:rsidR="00B21D4B" w:rsidRDefault="00B21D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5292E6A"/>
    <w:multiLevelType w:val="hybridMultilevel"/>
    <w:tmpl w:val="0384433E"/>
    <w:lvl w:ilvl="0" w:tplc="1B28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6C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344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E7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8A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E0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21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D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E7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4"/>
  </w:num>
  <w:num w:numId="13">
    <w:abstractNumId w:val="14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31"/>
  </w:num>
  <w:num w:numId="24">
    <w:abstractNumId w:val="16"/>
  </w:num>
  <w:num w:numId="25">
    <w:abstractNumId w:val="18"/>
  </w:num>
  <w:num w:numId="26">
    <w:abstractNumId w:val="33"/>
  </w:num>
  <w:num w:numId="27">
    <w:abstractNumId w:val="13"/>
  </w:num>
  <w:num w:numId="28">
    <w:abstractNumId w:val="35"/>
  </w:num>
  <w:num w:numId="29">
    <w:abstractNumId w:val="17"/>
  </w:num>
  <w:num w:numId="30">
    <w:abstractNumId w:val="32"/>
  </w:num>
  <w:num w:numId="31">
    <w:abstractNumId w:val="15"/>
  </w:num>
  <w:num w:numId="32">
    <w:abstractNumId w:val="23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1194D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15DA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9F3197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1FD5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1D4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C7DDF"/>
    <w:rsid w:val="00FD45D6"/>
    <w:rsid w:val="00FD78F2"/>
    <w:rsid w:val="00FE143C"/>
    <w:rsid w:val="00FE2DA7"/>
    <w:rsid w:val="00FF0492"/>
    <w:rsid w:val="00FF2307"/>
    <w:rsid w:val="00FF4464"/>
    <w:rsid w:val="65159CA7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94D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94D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so.ca/en/Sector-Participants/Engagement-Initiatives/Engagements/Transmitter-Selection-Framewor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7D3A612E6466DBDB1B7F29D1C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789BA-5F05-41FF-89B7-B973267EE1E1}"/>
      </w:docPartPr>
      <w:docPartBody>
        <w:p w:rsidR="000608F2" w:rsidRDefault="00CB5C67" w:rsidP="00CB5C67">
          <w:pPr>
            <w:pStyle w:val="AAE7D3A612E6466DBDB1B7F29D1C234B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71C4495304FE0B43510CCCDE9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931B2-E21D-4324-96A2-EA3472DD0B74}"/>
      </w:docPartPr>
      <w:docPartBody>
        <w:p w:rsidR="000608F2" w:rsidRDefault="00CB5C67" w:rsidP="00CB5C67">
          <w:pPr>
            <w:pStyle w:val="9C371C4495304FE0B43510CCCDE96F3C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731377"/>
    <w:rsid w:val="00966CA8"/>
    <w:rsid w:val="00B513C0"/>
    <w:rsid w:val="00CB5C67"/>
    <w:rsid w:val="00D27661"/>
    <w:rsid w:val="00E6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8cdfa92-5fbc-415b-802d-96b25a684034">A required document for collecting stakeholder feedback </Not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11B0A3337E54387A2A4346AB2B014" ma:contentTypeVersion="5" ma:contentTypeDescription="Create a new document." ma:contentTypeScope="" ma:versionID="f39b45bebb27126ce7e2b53f5103261f">
  <xsd:schema xmlns:xsd="http://www.w3.org/2001/XMLSchema" xmlns:xs="http://www.w3.org/2001/XMLSchema" xmlns:p="http://schemas.microsoft.com/office/2006/metadata/properties" xmlns:ns2="e8cdfa92-5fbc-415b-802d-96b25a684034" targetNamespace="http://schemas.microsoft.com/office/2006/metadata/properties" ma:root="true" ma:fieldsID="f95646a2f2d9ca4ee77cda47475724c6" ns2:_="">
    <xsd:import namespace="e8cdfa92-5fbc-415b-802d-96b25a684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fa92-5fbc-415b-802d-96b25a68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7C2074-5777-4389-BBDD-09F672A689F1}">
  <ds:schemaRefs>
    <ds:schemaRef ds:uri="http://schemas.microsoft.com/office/2006/metadata/properties"/>
    <ds:schemaRef ds:uri="http://schemas.microsoft.com/office/infopath/2007/PartnerControls"/>
    <ds:schemaRef ds:uri="e8cdfa92-5fbc-415b-802d-96b25a684034"/>
  </ds:schemaRefs>
</ds:datastoreItem>
</file>

<file path=customXml/itemProps2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749C79-C067-498D-85A1-07673709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fa92-5fbc-415b-802d-96b25a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026D82-2AAF-41FE-936D-91399E72B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2470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 Form</dc:title>
  <dc:subject/>
  <dc:creator>Independent Electricity System Operator (IESO)</dc:creator>
  <cp:keywords/>
  <dc:description/>
  <cp:lastModifiedBy>Fatema Khatun</cp:lastModifiedBy>
  <cp:revision>2</cp:revision>
  <cp:lastPrinted>2020-04-17T18:00:00Z</cp:lastPrinted>
  <dcterms:created xsi:type="dcterms:W3CDTF">2024-02-29T17:40:00Z</dcterms:created>
  <dcterms:modified xsi:type="dcterms:W3CDTF">2024-02-29T17:40:00Z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0x010100F1111B0A3337E54387A2A4346AB2B014</vt:lpwstr>
  </property>
</Properties>
</file>