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953EC" w14:textId="65FBDEC3" w:rsidR="00D56AEC" w:rsidRDefault="0035658F" w:rsidP="00456376">
      <w:pPr>
        <w:pStyle w:val="BodyText"/>
      </w:pPr>
      <w:r>
        <mc:AlternateContent>
          <mc:Choice Requires="wps">
            <w:drawing>
              <wp:anchor distT="0" distB="0" distL="114300" distR="114300" simplePos="0" relativeHeight="251658240" behindDoc="0" locked="0" layoutInCell="1" allowOverlap="1" wp14:anchorId="49AA9DA9" wp14:editId="0E11B61C">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B9EF4" w14:textId="6B08E914"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" fillcolor="#036 [3215]" stroked="f" strokeweight="1pt">
                <v:fill color2="#006b71 [3207]" angle="90" focus="100%" type="gradient">
                  <o:fill v:ext="view" type="gradientUnscaled"/>
                </v:fill>
                <v:textbox inset="18pt,18pt,18pt,18pt">
                  <w:txbxContent>
                    <w:p w14:paraId="673B9EF4" w14:textId="6B08E914" w:rsidR="0035658F" w:rsidRPr="006F582B" w:rsidRDefault="002040D1" w:rsidP="00D4161A">
                      <w:pPr>
                        <w:pStyle w:val="Heading1"/>
                        <w:rPr>
                          <w:lang w:val="en-US"/>
                        </w:rPr>
                      </w:pPr>
                      <w:r>
                        <w:rPr>
                          <w:lang w:val="en-US"/>
                        </w:rPr>
                        <w:t>Feedback Form</w:t>
                      </w:r>
                    </w:p>
                  </w:txbxContent>
                </v:textbox>
                <w10:wrap type="square"/>
              </v:rect>
            </w:pict>
          </mc:Fallback>
        </mc:AlternateContent>
      </w:r>
    </w:p>
    <w:p w14:paraId="1814FA20" w14:textId="62D7A54E" w:rsidR="005A5EF9" w:rsidRDefault="005A5EF9" w:rsidP="005A5EF9">
      <w:pPr>
        <w:pStyle w:val="YellowBarHeading2"/>
      </w:pPr>
    </w:p>
    <w:p w14:paraId="5DCE5DD0" w14:textId="312D2D5E" w:rsidR="006F582B" w:rsidRDefault="00C24FEC" w:rsidP="006F582B">
      <w:pPr>
        <w:pStyle w:val="Heading2"/>
      </w:pPr>
      <w:r>
        <w:t>Transmission Rights Market Review</w:t>
      </w:r>
      <w:r w:rsidR="004526B6" w:rsidRPr="004526B6">
        <w:t xml:space="preserve"> webinar</w:t>
      </w:r>
      <w:r w:rsidR="007A1A30">
        <w:t xml:space="preserve">– October </w:t>
      </w:r>
      <w:r w:rsidR="004526B6">
        <w:t>2</w:t>
      </w:r>
      <w:r>
        <w:t>7</w:t>
      </w:r>
      <w:r w:rsidR="007A1A30">
        <w:t>, 2020</w:t>
      </w:r>
    </w:p>
    <w:p w14:paraId="26724B9F" w14:textId="1E919A54" w:rsidR="009B6BAE" w:rsidRDefault="009B6BAE" w:rsidP="006E7BD2">
      <w:pPr>
        <w:pStyle w:val="Heading3"/>
      </w:pPr>
      <w:r>
        <w:t>Feedback Provided by:</w:t>
      </w:r>
    </w:p>
    <w:p w14:paraId="59EED144" w14:textId="37BA0EAA"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4A011DCE" w14:textId="0C893A1E"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6D90F3FE" w14:textId="0BF23F39"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034F6AD0" w14:textId="56A20B07"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62525B5F" w14:textId="3ECCA2C4" w:rsidR="004C1610" w:rsidRDefault="004C1610" w:rsidP="004C1610">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14:paraId="5C15A2B6" w14:textId="51D2EBED" w:rsidR="006F582B" w:rsidRDefault="00B44D93" w:rsidP="006F582B">
      <w:pPr>
        <w:pStyle w:val="BodyText"/>
      </w:pPr>
      <w:r w:rsidRPr="005D1848">
        <w:rPr>
          <w:rFonts w:eastAsiaTheme="minorEastAsia" w:cs="Tahoma"/>
          <w:szCs w:val="22"/>
          <w:lang w:val="en-US"/>
        </w:rPr>
        <w:t xml:space="preserve">Following the </w:t>
      </w:r>
      <w:r>
        <w:rPr>
          <w:rFonts w:eastAsiaTheme="minorEastAsia" w:cs="Tahoma"/>
          <w:szCs w:val="22"/>
          <w:lang w:val="en-US"/>
        </w:rPr>
        <w:t xml:space="preserve">October </w:t>
      </w:r>
      <w:r w:rsidR="004526B6">
        <w:rPr>
          <w:rFonts w:eastAsiaTheme="minorEastAsia" w:cs="Tahoma"/>
          <w:szCs w:val="22"/>
          <w:lang w:val="en-US"/>
        </w:rPr>
        <w:t>2</w:t>
      </w:r>
      <w:r w:rsidR="00C24FEC">
        <w:rPr>
          <w:rFonts w:eastAsiaTheme="minorEastAsia" w:cs="Tahoma"/>
          <w:szCs w:val="22"/>
          <w:lang w:val="en-US"/>
        </w:rPr>
        <w:t>7</w:t>
      </w:r>
      <w:r w:rsidRPr="005D1848">
        <w:rPr>
          <w:rFonts w:eastAsiaTheme="minorEastAsia" w:cs="Tahoma"/>
          <w:szCs w:val="22"/>
          <w:lang w:val="en-US"/>
        </w:rPr>
        <w:t xml:space="preserve">, 2020 </w:t>
      </w:r>
      <w:r w:rsidR="00C24FEC">
        <w:t>Transmission Rights Market Review</w:t>
      </w:r>
      <w:r w:rsidR="004526B6" w:rsidRPr="004526B6">
        <w:rPr>
          <w:rFonts w:eastAsiaTheme="minorEastAsia" w:cs="Tahoma"/>
          <w:szCs w:val="22"/>
          <w:lang w:val="en-US"/>
        </w:rPr>
        <w:t xml:space="preserve"> webinar</w:t>
      </w:r>
      <w:r w:rsidRPr="005D1848">
        <w:rPr>
          <w:rFonts w:eastAsiaTheme="minorEastAsia" w:cs="Tahoma"/>
          <w:szCs w:val="22"/>
          <w:lang w:val="en-US"/>
        </w:rPr>
        <w:t xml:space="preserve">, the Independent Electricity System Operator (IESO) is seeking feedback from stakeholders on the following items discussed during the webinar. Background information related to these feedback requests can be found in the presentation, which can be accessed from the </w:t>
      </w:r>
      <w:hyperlink r:id="rId8" w:history="1">
        <w:r w:rsidRPr="00A515BA">
          <w:rPr>
            <w:rStyle w:val="Hyperlink"/>
            <w:rFonts w:eastAsiaTheme="minorEastAsia" w:cs="Tahoma"/>
            <w:szCs w:val="22"/>
            <w:lang w:val="en-US" w:eastAsia="en-US"/>
            <w14:numForm w14:val="default"/>
            <w14:numSpacing w14:val="default"/>
          </w:rPr>
          <w:t>engagement web page</w:t>
        </w:r>
      </w:hyperlink>
      <w:r w:rsidRPr="005D1848">
        <w:rPr>
          <w:rFonts w:eastAsiaTheme="minorEastAsia" w:cs="Tahoma"/>
          <w:szCs w:val="22"/>
          <w:lang w:val="en-US"/>
        </w:rPr>
        <w:t>.</w:t>
      </w:r>
    </w:p>
    <w:p w14:paraId="5A95E5DF" w14:textId="62817FA9" w:rsidR="009B6BAE" w:rsidRDefault="00B44D93" w:rsidP="006F582B">
      <w:pPr>
        <w:pStyle w:val="BodyText"/>
      </w:pPr>
      <w:r w:rsidRPr="00717CD0">
        <w:rPr>
          <w:rFonts w:eastAsiaTheme="minorEastAsia" w:cs="Tahoma"/>
          <w:b/>
          <w:szCs w:val="22"/>
          <w:lang w:val="en-US"/>
        </w:rPr>
        <w:t>Please submit feedback to</w:t>
      </w:r>
      <w:r w:rsidRPr="005D1848">
        <w:rPr>
          <w:rFonts w:eastAsiaTheme="minorEastAsia" w:cs="Tahoma"/>
          <w:szCs w:val="22"/>
          <w:lang w:val="en-US"/>
        </w:rPr>
        <w:t xml:space="preserve"> </w:t>
      </w:r>
      <w:hyperlink r:id="rId9" w:history="1">
        <w:r w:rsidRPr="00B16545">
          <w:rPr>
            <w:rStyle w:val="Hyperlink"/>
          </w:rPr>
          <w:t>engagement@ieso.ca</w:t>
        </w:r>
      </w:hyperlink>
      <w:r>
        <w:rPr>
          <w:rFonts w:eastAsiaTheme="minorEastAsia" w:cs="Tahoma"/>
          <w:szCs w:val="22"/>
          <w:lang w:val="en-US"/>
        </w:rPr>
        <w:t xml:space="preserve"> </w:t>
      </w:r>
      <w:r w:rsidRPr="00717CD0">
        <w:rPr>
          <w:rFonts w:eastAsiaTheme="minorEastAsia" w:cs="Tahoma"/>
          <w:b/>
          <w:szCs w:val="22"/>
          <w:lang w:val="en-US"/>
        </w:rPr>
        <w:t xml:space="preserve">by </w:t>
      </w:r>
      <w:r w:rsidR="00C24FEC">
        <w:rPr>
          <w:rFonts w:eastAsiaTheme="minorEastAsia" w:cs="Tahoma"/>
          <w:b/>
          <w:szCs w:val="22"/>
          <w:lang w:val="en-US"/>
        </w:rPr>
        <w:t>November 17</w:t>
      </w:r>
      <w:r w:rsidRPr="00717CD0">
        <w:rPr>
          <w:rFonts w:eastAsiaTheme="minorEastAsia" w:cs="Tahoma"/>
          <w:b/>
          <w:szCs w:val="22"/>
          <w:lang w:val="en-US"/>
        </w:rPr>
        <w:t>, 2020</w:t>
      </w:r>
      <w:r w:rsidRPr="005D1848">
        <w:rPr>
          <w:rFonts w:eastAsiaTheme="minorEastAsia" w:cs="Tahoma"/>
          <w:szCs w:val="22"/>
          <w:lang w:val="en-US"/>
        </w:rPr>
        <w:t>. If you wish to provide confidential feedback, please submit as a separate document, marked “Confidential”. Otherwise, to promote transparency, feedback that is not marked “Confidential” will be posted on the engagement webpage.</w:t>
      </w:r>
    </w:p>
    <w:p w14:paraId="4358B92E" w14:textId="7C22A883" w:rsidR="00C04795" w:rsidRPr="00C24FEC" w:rsidRDefault="009B6BAE" w:rsidP="00C24FEC">
      <w:pPr>
        <w:spacing w:after="0" w:line="240" w:lineRule="auto"/>
        <w:rPr>
          <w:noProof/>
          <w:color w:val="000000" w:themeColor="text1"/>
          <w:u w:color="8CD2F3" w:themeColor="background2"/>
          <w:lang w:eastAsia="en-CA"/>
          <w14:numForm w14:val="lining"/>
          <w14:numSpacing w14:val="tabular"/>
        </w:rPr>
      </w:pPr>
      <w:r>
        <w:br w:type="page"/>
      </w:r>
      <w:bookmarkStart w:id="0" w:name="_Toc35868671"/>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5490"/>
        <w:gridCol w:w="4500"/>
      </w:tblGrid>
      <w:tr w:rsidR="004200EA" w:rsidRPr="006B7128" w14:paraId="1F6F248C" w14:textId="77777777" w:rsidTr="00D2041D">
        <w:trPr>
          <w:cantSplit/>
          <w:trHeight w:val="144"/>
          <w:tblHeader/>
        </w:trPr>
        <w:tc>
          <w:tcPr>
            <w:tcW w:w="5490" w:type="dxa"/>
            <w:tcMar>
              <w:top w:w="0" w:type="dxa"/>
              <w:bottom w:w="130" w:type="dxa"/>
            </w:tcMar>
            <w:vAlign w:val="bottom"/>
          </w:tcPr>
          <w:p w14:paraId="5E43125D" w14:textId="24F7BEA4" w:rsidR="004200EA" w:rsidRPr="003A3754" w:rsidRDefault="00D56CDF" w:rsidP="00AE442F">
            <w:pPr>
              <w:pStyle w:val="TableHeaderLeftAlignment"/>
            </w:pPr>
            <w:r>
              <w:lastRenderedPageBreak/>
              <w:t>Topic</w:t>
            </w:r>
          </w:p>
        </w:tc>
        <w:tc>
          <w:tcPr>
            <w:tcW w:w="4500" w:type="dxa"/>
            <w:tcMar>
              <w:top w:w="0" w:type="dxa"/>
              <w:left w:w="144" w:type="dxa"/>
              <w:bottom w:w="130" w:type="dxa"/>
              <w:right w:w="0" w:type="dxa"/>
            </w:tcMar>
            <w:vAlign w:val="bottom"/>
          </w:tcPr>
          <w:p w14:paraId="4E246CF3" w14:textId="29A1D2BF" w:rsidR="004200EA" w:rsidRPr="006B7128" w:rsidRDefault="00D56CDF" w:rsidP="004200EA">
            <w:pPr>
              <w:pStyle w:val="TableHeaderRightAlignment"/>
              <w:framePr w:wrap="around"/>
            </w:pPr>
            <w:r>
              <w:t>Feedback</w:t>
            </w:r>
          </w:p>
        </w:tc>
      </w:tr>
      <w:tr w:rsidR="004200EA" w:rsidRPr="006B7128" w14:paraId="44D6E714" w14:textId="77777777" w:rsidTr="00D2041D">
        <w:trPr>
          <w:cantSplit/>
          <w:trHeight w:val="144"/>
        </w:trPr>
        <w:tc>
          <w:tcPr>
            <w:tcW w:w="5490" w:type="dxa"/>
            <w:shd w:val="clear" w:color="auto" w:fill="auto"/>
            <w:tcMar>
              <w:top w:w="130" w:type="dxa"/>
              <w:bottom w:w="130" w:type="dxa"/>
            </w:tcMar>
          </w:tcPr>
          <w:p w14:paraId="05D9C244" w14:textId="5BAF23E9" w:rsidR="004200EA" w:rsidRPr="006B7128" w:rsidRDefault="00C24FEC" w:rsidP="008750B1">
            <w:pPr>
              <w:pStyle w:val="TableNumeralsLeftAlignment"/>
            </w:pPr>
            <w:r w:rsidRPr="00C24FEC">
              <w:t>Are there other considerations</w:t>
            </w:r>
            <w:r w:rsidR="008750B1">
              <w:t xml:space="preserve"> </w:t>
            </w:r>
            <w:r w:rsidRPr="00C24FEC">
              <w:t xml:space="preserve">on Stage 2 options regarding </w:t>
            </w:r>
            <w:r>
              <w:t>transmission rights (</w:t>
            </w:r>
            <w:r w:rsidRPr="00C24FEC">
              <w:t>TR</w:t>
            </w:r>
            <w:r>
              <w:t>)</w:t>
            </w:r>
            <w:r w:rsidRPr="00C24FEC">
              <w:t xml:space="preserve"> auction process and TR products?</w:t>
            </w:r>
          </w:p>
        </w:tc>
        <w:tc>
          <w:tcPr>
            <w:tcW w:w="4500" w:type="dxa"/>
            <w:shd w:val="clear" w:color="auto" w:fill="auto"/>
            <w:tcMar>
              <w:top w:w="130" w:type="dxa"/>
              <w:left w:w="144" w:type="dxa"/>
              <w:bottom w:w="130" w:type="dxa"/>
              <w:right w:w="0" w:type="dxa"/>
            </w:tcMar>
          </w:tcPr>
          <w:p w14:paraId="0DFE4F0C" w14:textId="001F8336" w:rsidR="004200EA" w:rsidRPr="006D7540" w:rsidRDefault="004200EA" w:rsidP="00C24FEC">
            <w:pPr>
              <w:pStyle w:val="TableNumeralsLeftAlignment"/>
            </w:pPr>
          </w:p>
        </w:tc>
      </w:tr>
    </w:tbl>
    <w:p w14:paraId="08294854" w14:textId="77777777" w:rsidR="00E6315A" w:rsidRDefault="00E6315A" w:rsidP="00E6315A">
      <w:pPr>
        <w:pStyle w:val="BodyText"/>
      </w:pP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5490"/>
        <w:gridCol w:w="4500"/>
      </w:tblGrid>
      <w:tr w:rsidR="00E6315A" w:rsidRPr="006B7128" w14:paraId="2BA97184" w14:textId="77777777" w:rsidTr="00587A11">
        <w:trPr>
          <w:cantSplit/>
          <w:trHeight w:val="144"/>
          <w:tblHeader/>
        </w:trPr>
        <w:tc>
          <w:tcPr>
            <w:tcW w:w="5490" w:type="dxa"/>
            <w:tcMar>
              <w:top w:w="0" w:type="dxa"/>
              <w:bottom w:w="130" w:type="dxa"/>
            </w:tcMar>
            <w:vAlign w:val="bottom"/>
          </w:tcPr>
          <w:p w14:paraId="32C87F8E" w14:textId="77777777" w:rsidR="00E6315A" w:rsidRPr="003A3754" w:rsidRDefault="00E6315A" w:rsidP="00587A11">
            <w:pPr>
              <w:pStyle w:val="TableHeaderLeftAlignment"/>
            </w:pPr>
            <w:r>
              <w:t>Topic</w:t>
            </w:r>
          </w:p>
        </w:tc>
        <w:tc>
          <w:tcPr>
            <w:tcW w:w="4500" w:type="dxa"/>
            <w:tcMar>
              <w:top w:w="0" w:type="dxa"/>
              <w:left w:w="144" w:type="dxa"/>
              <w:bottom w:w="130" w:type="dxa"/>
              <w:right w:w="0" w:type="dxa"/>
            </w:tcMar>
            <w:vAlign w:val="bottom"/>
          </w:tcPr>
          <w:p w14:paraId="50D23789" w14:textId="77777777" w:rsidR="00E6315A" w:rsidRPr="006B7128" w:rsidRDefault="00E6315A" w:rsidP="00587A11">
            <w:pPr>
              <w:pStyle w:val="TableHeaderRightAlignment"/>
              <w:framePr w:wrap="around"/>
            </w:pPr>
            <w:r>
              <w:t>Feedback</w:t>
            </w:r>
          </w:p>
        </w:tc>
      </w:tr>
      <w:tr w:rsidR="00E6315A" w:rsidRPr="006B7128" w14:paraId="3D955338" w14:textId="77777777" w:rsidTr="00587A11">
        <w:trPr>
          <w:cantSplit/>
          <w:trHeight w:val="144"/>
        </w:trPr>
        <w:tc>
          <w:tcPr>
            <w:tcW w:w="5490" w:type="dxa"/>
            <w:shd w:val="clear" w:color="auto" w:fill="auto"/>
            <w:tcMar>
              <w:top w:w="130" w:type="dxa"/>
              <w:bottom w:w="130" w:type="dxa"/>
            </w:tcMar>
          </w:tcPr>
          <w:p w14:paraId="1E749A44" w14:textId="77777777" w:rsidR="00E6315A" w:rsidRPr="00C24FEC" w:rsidRDefault="00E6315A" w:rsidP="00587A11">
            <w:pPr>
              <w:pStyle w:val="TableNumeralsLeftAlignment"/>
            </w:pPr>
            <w:r w:rsidRPr="00C24FEC">
              <w:t>Do you have any questions about the data presented in this presentation, or recommendations for further analysis on the methodology?</w:t>
            </w:r>
          </w:p>
        </w:tc>
        <w:tc>
          <w:tcPr>
            <w:tcW w:w="4500" w:type="dxa"/>
            <w:shd w:val="clear" w:color="auto" w:fill="auto"/>
            <w:tcMar>
              <w:top w:w="130" w:type="dxa"/>
              <w:left w:w="144" w:type="dxa"/>
              <w:bottom w:w="130" w:type="dxa"/>
              <w:right w:w="0" w:type="dxa"/>
            </w:tcMar>
          </w:tcPr>
          <w:p w14:paraId="7A4ED6DA" w14:textId="77777777" w:rsidR="00E6315A" w:rsidRPr="006D7540" w:rsidRDefault="00E6315A" w:rsidP="00587A11">
            <w:pPr>
              <w:pStyle w:val="TableNumeralsLeftAlignment"/>
            </w:pPr>
          </w:p>
        </w:tc>
      </w:tr>
    </w:tbl>
    <w:p w14:paraId="32D9FA01" w14:textId="77777777" w:rsidR="00E6315A" w:rsidRDefault="00E6315A" w:rsidP="00456376">
      <w:pPr>
        <w:pStyle w:val="BodyText"/>
      </w:pP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5490"/>
        <w:gridCol w:w="4500"/>
      </w:tblGrid>
      <w:tr w:rsidR="003D0BE4" w:rsidRPr="006B7128" w14:paraId="3C47BE88" w14:textId="77777777" w:rsidTr="00D2041D">
        <w:trPr>
          <w:cantSplit/>
          <w:trHeight w:val="144"/>
          <w:tblHeader/>
        </w:trPr>
        <w:tc>
          <w:tcPr>
            <w:tcW w:w="5490" w:type="dxa"/>
            <w:tcMar>
              <w:top w:w="0" w:type="dxa"/>
              <w:bottom w:w="130" w:type="dxa"/>
            </w:tcMar>
            <w:vAlign w:val="bottom"/>
          </w:tcPr>
          <w:p w14:paraId="2865FAD9" w14:textId="77777777" w:rsidR="003D0BE4" w:rsidRPr="003A3754" w:rsidRDefault="003D0BE4" w:rsidP="00C333FC">
            <w:pPr>
              <w:pStyle w:val="TableHeaderLeftAlignment"/>
            </w:pPr>
            <w:r>
              <w:t>Topic</w:t>
            </w:r>
          </w:p>
        </w:tc>
        <w:tc>
          <w:tcPr>
            <w:tcW w:w="4500" w:type="dxa"/>
            <w:tcMar>
              <w:top w:w="0" w:type="dxa"/>
              <w:left w:w="144" w:type="dxa"/>
              <w:bottom w:w="130" w:type="dxa"/>
              <w:right w:w="0" w:type="dxa"/>
            </w:tcMar>
            <w:vAlign w:val="bottom"/>
          </w:tcPr>
          <w:p w14:paraId="6B5523B5" w14:textId="77777777" w:rsidR="003D0BE4" w:rsidRPr="006B7128" w:rsidRDefault="003D0BE4" w:rsidP="00C333FC">
            <w:pPr>
              <w:pStyle w:val="TableHeaderRightAlignment"/>
              <w:framePr w:wrap="around"/>
            </w:pPr>
            <w:r>
              <w:t>Feedback</w:t>
            </w:r>
          </w:p>
        </w:tc>
      </w:tr>
      <w:tr w:rsidR="003D0BE4" w:rsidRPr="006B7128" w14:paraId="22116DB4" w14:textId="77777777" w:rsidTr="00D2041D">
        <w:trPr>
          <w:cantSplit/>
          <w:trHeight w:val="144"/>
        </w:trPr>
        <w:tc>
          <w:tcPr>
            <w:tcW w:w="5490" w:type="dxa"/>
            <w:shd w:val="clear" w:color="auto" w:fill="auto"/>
            <w:tcMar>
              <w:top w:w="130" w:type="dxa"/>
              <w:bottom w:w="130" w:type="dxa"/>
            </w:tcMar>
          </w:tcPr>
          <w:p w14:paraId="70123BC0" w14:textId="3E9455C4" w:rsidR="003D0BE4" w:rsidRPr="00C24FEC" w:rsidRDefault="00E6315A" w:rsidP="00C24FEC">
            <w:pPr>
              <w:pStyle w:val="TableNumeralsLeftAlignment"/>
            </w:pPr>
            <w:r w:rsidRPr="00E6315A">
              <w:t>Would increasing the Financial Upper Limit (FUL) by a larger percentage and decreasing TRs offered as a result have an impact on your TR bidding strategy or interest in import/export transactions?</w:t>
            </w:r>
          </w:p>
        </w:tc>
        <w:tc>
          <w:tcPr>
            <w:tcW w:w="4500" w:type="dxa"/>
            <w:shd w:val="clear" w:color="auto" w:fill="auto"/>
            <w:tcMar>
              <w:top w:w="130" w:type="dxa"/>
              <w:left w:w="144" w:type="dxa"/>
              <w:bottom w:w="130" w:type="dxa"/>
              <w:right w:w="0" w:type="dxa"/>
            </w:tcMar>
          </w:tcPr>
          <w:p w14:paraId="068B1E2E" w14:textId="7BB4CF76" w:rsidR="008750B1" w:rsidRPr="006D7540" w:rsidRDefault="008750B1" w:rsidP="00C24FEC">
            <w:pPr>
              <w:pStyle w:val="TableNumeralsLeftAlignment"/>
            </w:pPr>
            <w:bookmarkStart w:id="1" w:name="_GoBack"/>
            <w:bookmarkEnd w:id="1"/>
          </w:p>
        </w:tc>
      </w:tr>
    </w:tbl>
    <w:p w14:paraId="3BD88D50" w14:textId="61E26A10" w:rsidR="00D2041D" w:rsidRDefault="00D2041D" w:rsidP="00D2041D">
      <w:pPr>
        <w:pStyle w:val="Heading3"/>
      </w:pPr>
      <w:r>
        <w:t>General Comments/Feedback</w:t>
      </w:r>
    </w:p>
    <w:p w14:paraId="0EA7A0E8" w14:textId="77777777" w:rsidR="00D56CDF" w:rsidRPr="003B554C" w:rsidRDefault="00D56CDF" w:rsidP="00456376">
      <w:pPr>
        <w:pStyle w:val="BodyText"/>
      </w:pPr>
    </w:p>
    <w:bookmarkEnd w:id="0"/>
    <w:sectPr w:rsidR="00D56CDF" w:rsidRPr="003B554C" w:rsidSect="003E040F">
      <w:footerReference w:type="default" r:id="rId10"/>
      <w:footerReference w:type="first" r:id="rId11"/>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DECD2" w14:textId="77777777" w:rsidR="00EA1429" w:rsidRDefault="00EA1429" w:rsidP="00F83314">
      <w:r>
        <w:separator/>
      </w:r>
    </w:p>
    <w:p w14:paraId="1DF33C23" w14:textId="77777777" w:rsidR="00EA1429" w:rsidRDefault="00EA1429"/>
  </w:endnote>
  <w:endnote w:type="continuationSeparator" w:id="0">
    <w:p w14:paraId="779CDA85" w14:textId="77777777" w:rsidR="00EA1429" w:rsidRDefault="00EA1429" w:rsidP="00F83314">
      <w:r>
        <w:continuationSeparator/>
      </w:r>
    </w:p>
    <w:p w14:paraId="577810A2" w14:textId="77777777" w:rsidR="00EA1429" w:rsidRDefault="00EA1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3ABCA336" w14:textId="6CB542A2"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750B1">
          <w:rPr>
            <w:rStyle w:val="PageNumber"/>
            <w:noProof/>
          </w:rPr>
          <w:t>2</w:t>
        </w:r>
        <w:r>
          <w:rPr>
            <w:rStyle w:val="PageNumber"/>
          </w:rPr>
          <w:fldChar w:fldCharType="end"/>
        </w:r>
      </w:p>
    </w:sdtContent>
  </w:sdt>
  <w:p w14:paraId="4A7CFF92" w14:textId="3305EFAA" w:rsidR="00C6016F" w:rsidRDefault="00972A39" w:rsidP="00972A39">
    <w:pPr>
      <w:pStyle w:val="Footer"/>
      <w:ind w:right="360"/>
    </w:pPr>
    <w:r>
      <w:t>Transmission Rights Market Review, 27/October/2020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11FE" w14:textId="3E6D63D2"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E6315A">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1C119" w14:textId="77777777" w:rsidR="00EA1429" w:rsidRDefault="00EA1429">
      <w:r>
        <w:separator/>
      </w:r>
    </w:p>
  </w:footnote>
  <w:footnote w:type="continuationSeparator" w:id="0">
    <w:p w14:paraId="6B33ED3E" w14:textId="77777777" w:rsidR="00EA1429" w:rsidRDefault="00EA1429" w:rsidP="00F83314">
      <w:r>
        <w:continuationSeparator/>
      </w:r>
    </w:p>
    <w:p w14:paraId="4221618E" w14:textId="77777777" w:rsidR="00EA1429" w:rsidRDefault="00EA142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0D57544"/>
    <w:multiLevelType w:val="hybridMultilevel"/>
    <w:tmpl w:val="09766A34"/>
    <w:lvl w:ilvl="0" w:tplc="D200DC4E">
      <w:start w:val="1"/>
      <w:numFmt w:val="bullet"/>
      <w:lvlText w:val="•"/>
      <w:lvlJc w:val="left"/>
      <w:pPr>
        <w:tabs>
          <w:tab w:val="num" w:pos="720"/>
        </w:tabs>
        <w:ind w:left="720" w:hanging="360"/>
      </w:pPr>
      <w:rPr>
        <w:rFonts w:ascii="Arial" w:hAnsi="Arial" w:hint="default"/>
      </w:rPr>
    </w:lvl>
    <w:lvl w:ilvl="1" w:tplc="52C83484" w:tentative="1">
      <w:start w:val="1"/>
      <w:numFmt w:val="bullet"/>
      <w:lvlText w:val="•"/>
      <w:lvlJc w:val="left"/>
      <w:pPr>
        <w:tabs>
          <w:tab w:val="num" w:pos="1440"/>
        </w:tabs>
        <w:ind w:left="1440" w:hanging="360"/>
      </w:pPr>
      <w:rPr>
        <w:rFonts w:ascii="Arial" w:hAnsi="Arial" w:hint="default"/>
      </w:rPr>
    </w:lvl>
    <w:lvl w:ilvl="2" w:tplc="07D602C6" w:tentative="1">
      <w:start w:val="1"/>
      <w:numFmt w:val="bullet"/>
      <w:lvlText w:val="•"/>
      <w:lvlJc w:val="left"/>
      <w:pPr>
        <w:tabs>
          <w:tab w:val="num" w:pos="2160"/>
        </w:tabs>
        <w:ind w:left="2160" w:hanging="360"/>
      </w:pPr>
      <w:rPr>
        <w:rFonts w:ascii="Arial" w:hAnsi="Arial" w:hint="default"/>
      </w:rPr>
    </w:lvl>
    <w:lvl w:ilvl="3" w:tplc="AEEC1338" w:tentative="1">
      <w:start w:val="1"/>
      <w:numFmt w:val="bullet"/>
      <w:lvlText w:val="•"/>
      <w:lvlJc w:val="left"/>
      <w:pPr>
        <w:tabs>
          <w:tab w:val="num" w:pos="2880"/>
        </w:tabs>
        <w:ind w:left="2880" w:hanging="360"/>
      </w:pPr>
      <w:rPr>
        <w:rFonts w:ascii="Arial" w:hAnsi="Arial" w:hint="default"/>
      </w:rPr>
    </w:lvl>
    <w:lvl w:ilvl="4" w:tplc="C4FA4998" w:tentative="1">
      <w:start w:val="1"/>
      <w:numFmt w:val="bullet"/>
      <w:lvlText w:val="•"/>
      <w:lvlJc w:val="left"/>
      <w:pPr>
        <w:tabs>
          <w:tab w:val="num" w:pos="3600"/>
        </w:tabs>
        <w:ind w:left="3600" w:hanging="360"/>
      </w:pPr>
      <w:rPr>
        <w:rFonts w:ascii="Arial" w:hAnsi="Arial" w:hint="default"/>
      </w:rPr>
    </w:lvl>
    <w:lvl w:ilvl="5" w:tplc="BC36EA4A" w:tentative="1">
      <w:start w:val="1"/>
      <w:numFmt w:val="bullet"/>
      <w:lvlText w:val="•"/>
      <w:lvlJc w:val="left"/>
      <w:pPr>
        <w:tabs>
          <w:tab w:val="num" w:pos="4320"/>
        </w:tabs>
        <w:ind w:left="4320" w:hanging="360"/>
      </w:pPr>
      <w:rPr>
        <w:rFonts w:ascii="Arial" w:hAnsi="Arial" w:hint="default"/>
      </w:rPr>
    </w:lvl>
    <w:lvl w:ilvl="6" w:tplc="95F2F734" w:tentative="1">
      <w:start w:val="1"/>
      <w:numFmt w:val="bullet"/>
      <w:lvlText w:val="•"/>
      <w:lvlJc w:val="left"/>
      <w:pPr>
        <w:tabs>
          <w:tab w:val="num" w:pos="5040"/>
        </w:tabs>
        <w:ind w:left="5040" w:hanging="360"/>
      </w:pPr>
      <w:rPr>
        <w:rFonts w:ascii="Arial" w:hAnsi="Arial" w:hint="default"/>
      </w:rPr>
    </w:lvl>
    <w:lvl w:ilvl="7" w:tplc="47E8FCAA" w:tentative="1">
      <w:start w:val="1"/>
      <w:numFmt w:val="bullet"/>
      <w:lvlText w:val="•"/>
      <w:lvlJc w:val="left"/>
      <w:pPr>
        <w:tabs>
          <w:tab w:val="num" w:pos="5760"/>
        </w:tabs>
        <w:ind w:left="5760" w:hanging="360"/>
      </w:pPr>
      <w:rPr>
        <w:rFonts w:ascii="Arial" w:hAnsi="Arial" w:hint="default"/>
      </w:rPr>
    </w:lvl>
    <w:lvl w:ilvl="8" w:tplc="93ACAF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6"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F361778"/>
    <w:multiLevelType w:val="multilevel"/>
    <w:tmpl w:val="0409001D"/>
    <w:numStyleLink w:val="1ai"/>
  </w:abstractNum>
  <w:abstractNum w:abstractNumId="21"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2D71AF3"/>
    <w:multiLevelType w:val="hybridMultilevel"/>
    <w:tmpl w:val="952C5FE0"/>
    <w:lvl w:ilvl="0" w:tplc="8676E4F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5"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2"/>
  </w:num>
  <w:num w:numId="11">
    <w:abstractNumId w:val="34"/>
  </w:num>
  <w:num w:numId="12">
    <w:abstractNumId w:val="15"/>
  </w:num>
  <w:num w:numId="13">
    <w:abstractNumId w:val="21"/>
  </w:num>
  <w:num w:numId="14">
    <w:abstractNumId w:val="23"/>
  </w:num>
  <w:num w:numId="15">
    <w:abstractNumId w:val="20"/>
  </w:num>
  <w:num w:numId="16">
    <w:abstractNumId w:val="26"/>
  </w:num>
  <w:num w:numId="17">
    <w:abstractNumId w:val="11"/>
  </w:num>
  <w:num w:numId="18">
    <w:abstractNumId w:val="28"/>
  </w:num>
  <w:num w:numId="19">
    <w:abstractNumId w:val="22"/>
  </w:num>
  <w:num w:numId="20">
    <w:abstractNumId w:val="29"/>
  </w:num>
  <w:num w:numId="21">
    <w:abstractNumId w:val="27"/>
  </w:num>
  <w:num w:numId="22">
    <w:abstractNumId w:val="31"/>
  </w:num>
  <w:num w:numId="23">
    <w:abstractNumId w:val="17"/>
  </w:num>
  <w:num w:numId="24">
    <w:abstractNumId w:val="19"/>
  </w:num>
  <w:num w:numId="25">
    <w:abstractNumId w:val="33"/>
  </w:num>
  <w:num w:numId="26">
    <w:abstractNumId w:val="14"/>
  </w:num>
  <w:num w:numId="27">
    <w:abstractNumId w:val="35"/>
  </w:num>
  <w:num w:numId="28">
    <w:abstractNumId w:val="18"/>
  </w:num>
  <w:num w:numId="29">
    <w:abstractNumId w:val="32"/>
  </w:num>
  <w:num w:numId="30">
    <w:abstractNumId w:val="16"/>
  </w:num>
  <w:num w:numId="31">
    <w:abstractNumId w:val="24"/>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6C5A"/>
    <w:rsid w:val="00024F4F"/>
    <w:rsid w:val="00027E00"/>
    <w:rsid w:val="00031023"/>
    <w:rsid w:val="00032FAC"/>
    <w:rsid w:val="0003386C"/>
    <w:rsid w:val="000424C0"/>
    <w:rsid w:val="00043811"/>
    <w:rsid w:val="00050A11"/>
    <w:rsid w:val="000558BD"/>
    <w:rsid w:val="000617C1"/>
    <w:rsid w:val="00063A26"/>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C4332"/>
    <w:rsid w:val="000F12F2"/>
    <w:rsid w:val="000F55DA"/>
    <w:rsid w:val="00122D98"/>
    <w:rsid w:val="00123B6F"/>
    <w:rsid w:val="00134223"/>
    <w:rsid w:val="00164724"/>
    <w:rsid w:val="001708DC"/>
    <w:rsid w:val="00180C5F"/>
    <w:rsid w:val="00191D1F"/>
    <w:rsid w:val="00197EE4"/>
    <w:rsid w:val="001B31FB"/>
    <w:rsid w:val="001B5068"/>
    <w:rsid w:val="001C122B"/>
    <w:rsid w:val="001E501C"/>
    <w:rsid w:val="001F21B1"/>
    <w:rsid w:val="002040D1"/>
    <w:rsid w:val="00206BC2"/>
    <w:rsid w:val="002206A7"/>
    <w:rsid w:val="002273F3"/>
    <w:rsid w:val="00230E09"/>
    <w:rsid w:val="00235EFD"/>
    <w:rsid w:val="00245326"/>
    <w:rsid w:val="002529F2"/>
    <w:rsid w:val="00252FA6"/>
    <w:rsid w:val="0025740E"/>
    <w:rsid w:val="00271D4B"/>
    <w:rsid w:val="00272F96"/>
    <w:rsid w:val="002835B9"/>
    <w:rsid w:val="0029171F"/>
    <w:rsid w:val="002A4F50"/>
    <w:rsid w:val="002C11A0"/>
    <w:rsid w:val="002C1201"/>
    <w:rsid w:val="002D3238"/>
    <w:rsid w:val="002D4EB9"/>
    <w:rsid w:val="002E4651"/>
    <w:rsid w:val="002F3357"/>
    <w:rsid w:val="00306409"/>
    <w:rsid w:val="00306932"/>
    <w:rsid w:val="00313BFA"/>
    <w:rsid w:val="0032141A"/>
    <w:rsid w:val="00323363"/>
    <w:rsid w:val="00323DDD"/>
    <w:rsid w:val="00325545"/>
    <w:rsid w:val="003337F1"/>
    <w:rsid w:val="00334129"/>
    <w:rsid w:val="0034014B"/>
    <w:rsid w:val="003428C3"/>
    <w:rsid w:val="00343580"/>
    <w:rsid w:val="003543AA"/>
    <w:rsid w:val="0035658F"/>
    <w:rsid w:val="00371357"/>
    <w:rsid w:val="00374220"/>
    <w:rsid w:val="0037600B"/>
    <w:rsid w:val="003772C4"/>
    <w:rsid w:val="00383086"/>
    <w:rsid w:val="00390B42"/>
    <w:rsid w:val="00391AA6"/>
    <w:rsid w:val="003C7EEB"/>
    <w:rsid w:val="003D0BE4"/>
    <w:rsid w:val="003D5033"/>
    <w:rsid w:val="003D506F"/>
    <w:rsid w:val="003D599A"/>
    <w:rsid w:val="003E040F"/>
    <w:rsid w:val="003E67F9"/>
    <w:rsid w:val="003E7A89"/>
    <w:rsid w:val="003F033F"/>
    <w:rsid w:val="003F1F61"/>
    <w:rsid w:val="00401A13"/>
    <w:rsid w:val="004108F9"/>
    <w:rsid w:val="004200EA"/>
    <w:rsid w:val="0042208A"/>
    <w:rsid w:val="00424BA0"/>
    <w:rsid w:val="00426D11"/>
    <w:rsid w:val="004526B6"/>
    <w:rsid w:val="00456376"/>
    <w:rsid w:val="00456678"/>
    <w:rsid w:val="00482219"/>
    <w:rsid w:val="00497849"/>
    <w:rsid w:val="004C1610"/>
    <w:rsid w:val="004D5A69"/>
    <w:rsid w:val="004D7C5F"/>
    <w:rsid w:val="004E0F5C"/>
    <w:rsid w:val="004F115E"/>
    <w:rsid w:val="00502752"/>
    <w:rsid w:val="005066CE"/>
    <w:rsid w:val="005250E4"/>
    <w:rsid w:val="00536D37"/>
    <w:rsid w:val="00540C81"/>
    <w:rsid w:val="00546F8B"/>
    <w:rsid w:val="00570A60"/>
    <w:rsid w:val="00571735"/>
    <w:rsid w:val="00573F2B"/>
    <w:rsid w:val="0057575C"/>
    <w:rsid w:val="00575FBB"/>
    <w:rsid w:val="00581BCC"/>
    <w:rsid w:val="00585866"/>
    <w:rsid w:val="00586D7F"/>
    <w:rsid w:val="00592798"/>
    <w:rsid w:val="0059295B"/>
    <w:rsid w:val="005A5558"/>
    <w:rsid w:val="005A5723"/>
    <w:rsid w:val="005A5EF9"/>
    <w:rsid w:val="005B341A"/>
    <w:rsid w:val="005B38FB"/>
    <w:rsid w:val="005B7051"/>
    <w:rsid w:val="005C345A"/>
    <w:rsid w:val="005D0417"/>
    <w:rsid w:val="005D6B0E"/>
    <w:rsid w:val="005E0602"/>
    <w:rsid w:val="005F4CFF"/>
    <w:rsid w:val="00603F19"/>
    <w:rsid w:val="00607A0B"/>
    <w:rsid w:val="00615CDC"/>
    <w:rsid w:val="00617A9E"/>
    <w:rsid w:val="006246D3"/>
    <w:rsid w:val="00624AEC"/>
    <w:rsid w:val="00625442"/>
    <w:rsid w:val="0063312A"/>
    <w:rsid w:val="00635B4C"/>
    <w:rsid w:val="006635D9"/>
    <w:rsid w:val="0066614A"/>
    <w:rsid w:val="0067615F"/>
    <w:rsid w:val="00676421"/>
    <w:rsid w:val="00683AC9"/>
    <w:rsid w:val="006A5E35"/>
    <w:rsid w:val="006B7BD7"/>
    <w:rsid w:val="006C43C7"/>
    <w:rsid w:val="006D1C41"/>
    <w:rsid w:val="006E0323"/>
    <w:rsid w:val="006E4F59"/>
    <w:rsid w:val="006E7790"/>
    <w:rsid w:val="006E7BD2"/>
    <w:rsid w:val="006F582B"/>
    <w:rsid w:val="006F6935"/>
    <w:rsid w:val="00704EFB"/>
    <w:rsid w:val="0071682C"/>
    <w:rsid w:val="00731340"/>
    <w:rsid w:val="007360E5"/>
    <w:rsid w:val="0074423B"/>
    <w:rsid w:val="00750BE5"/>
    <w:rsid w:val="0076220E"/>
    <w:rsid w:val="00770B9D"/>
    <w:rsid w:val="007759BF"/>
    <w:rsid w:val="00781339"/>
    <w:rsid w:val="00787A1A"/>
    <w:rsid w:val="00792720"/>
    <w:rsid w:val="007A0FA5"/>
    <w:rsid w:val="007A1A30"/>
    <w:rsid w:val="007A6EC7"/>
    <w:rsid w:val="007B4815"/>
    <w:rsid w:val="007B538A"/>
    <w:rsid w:val="007D7593"/>
    <w:rsid w:val="007E2315"/>
    <w:rsid w:val="007E673E"/>
    <w:rsid w:val="00803BF6"/>
    <w:rsid w:val="00821FD8"/>
    <w:rsid w:val="00823D2B"/>
    <w:rsid w:val="00831390"/>
    <w:rsid w:val="00836072"/>
    <w:rsid w:val="00855324"/>
    <w:rsid w:val="00862CA0"/>
    <w:rsid w:val="00871A07"/>
    <w:rsid w:val="00871E07"/>
    <w:rsid w:val="00872FD8"/>
    <w:rsid w:val="008750B1"/>
    <w:rsid w:val="00875A7E"/>
    <w:rsid w:val="00875E05"/>
    <w:rsid w:val="008866FF"/>
    <w:rsid w:val="00895B5D"/>
    <w:rsid w:val="00897595"/>
    <w:rsid w:val="008B2095"/>
    <w:rsid w:val="008E5E99"/>
    <w:rsid w:val="008F1EB5"/>
    <w:rsid w:val="008F5089"/>
    <w:rsid w:val="008F73C6"/>
    <w:rsid w:val="00902A0D"/>
    <w:rsid w:val="00906361"/>
    <w:rsid w:val="00906834"/>
    <w:rsid w:val="00911702"/>
    <w:rsid w:val="0091379F"/>
    <w:rsid w:val="00915C81"/>
    <w:rsid w:val="00924BD3"/>
    <w:rsid w:val="00937211"/>
    <w:rsid w:val="00940A1F"/>
    <w:rsid w:val="00945BC3"/>
    <w:rsid w:val="00953E44"/>
    <w:rsid w:val="00956691"/>
    <w:rsid w:val="00966F34"/>
    <w:rsid w:val="009705C0"/>
    <w:rsid w:val="009726CC"/>
    <w:rsid w:val="00972A39"/>
    <w:rsid w:val="00991A11"/>
    <w:rsid w:val="00991B46"/>
    <w:rsid w:val="009A702B"/>
    <w:rsid w:val="009B0889"/>
    <w:rsid w:val="009B09EE"/>
    <w:rsid w:val="009B6BAE"/>
    <w:rsid w:val="009C2ACE"/>
    <w:rsid w:val="009E2295"/>
    <w:rsid w:val="009E31D3"/>
    <w:rsid w:val="00A0005D"/>
    <w:rsid w:val="00A00B71"/>
    <w:rsid w:val="00A047A0"/>
    <w:rsid w:val="00A12326"/>
    <w:rsid w:val="00A315B3"/>
    <w:rsid w:val="00A4096B"/>
    <w:rsid w:val="00A57C08"/>
    <w:rsid w:val="00A60FEE"/>
    <w:rsid w:val="00A677AB"/>
    <w:rsid w:val="00A7072C"/>
    <w:rsid w:val="00A71078"/>
    <w:rsid w:val="00A71F50"/>
    <w:rsid w:val="00A804BB"/>
    <w:rsid w:val="00A86619"/>
    <w:rsid w:val="00AA365E"/>
    <w:rsid w:val="00AA44D1"/>
    <w:rsid w:val="00AA7946"/>
    <w:rsid w:val="00AB1E69"/>
    <w:rsid w:val="00AC53E7"/>
    <w:rsid w:val="00AD0558"/>
    <w:rsid w:val="00AD2247"/>
    <w:rsid w:val="00AD3B6F"/>
    <w:rsid w:val="00AE23ED"/>
    <w:rsid w:val="00AE31C7"/>
    <w:rsid w:val="00AE4C5E"/>
    <w:rsid w:val="00B04816"/>
    <w:rsid w:val="00B141CC"/>
    <w:rsid w:val="00B15B1B"/>
    <w:rsid w:val="00B16545"/>
    <w:rsid w:val="00B27004"/>
    <w:rsid w:val="00B44D93"/>
    <w:rsid w:val="00B45BE4"/>
    <w:rsid w:val="00B54E3D"/>
    <w:rsid w:val="00B55305"/>
    <w:rsid w:val="00B81E1D"/>
    <w:rsid w:val="00B94249"/>
    <w:rsid w:val="00BC1CD2"/>
    <w:rsid w:val="00BC73F3"/>
    <w:rsid w:val="00BE4AA6"/>
    <w:rsid w:val="00BE4D1D"/>
    <w:rsid w:val="00BE558C"/>
    <w:rsid w:val="00BF2E6E"/>
    <w:rsid w:val="00C01175"/>
    <w:rsid w:val="00C04795"/>
    <w:rsid w:val="00C24FEC"/>
    <w:rsid w:val="00C31D32"/>
    <w:rsid w:val="00C36722"/>
    <w:rsid w:val="00C370C7"/>
    <w:rsid w:val="00C37949"/>
    <w:rsid w:val="00C41FBE"/>
    <w:rsid w:val="00C439AF"/>
    <w:rsid w:val="00C44BC7"/>
    <w:rsid w:val="00C51A91"/>
    <w:rsid w:val="00C536BB"/>
    <w:rsid w:val="00C57D67"/>
    <w:rsid w:val="00C6016F"/>
    <w:rsid w:val="00C65893"/>
    <w:rsid w:val="00C7071C"/>
    <w:rsid w:val="00C76B1E"/>
    <w:rsid w:val="00CA56A3"/>
    <w:rsid w:val="00CC5376"/>
    <w:rsid w:val="00CD06BE"/>
    <w:rsid w:val="00CD26E7"/>
    <w:rsid w:val="00CE0767"/>
    <w:rsid w:val="00CE3824"/>
    <w:rsid w:val="00CE3D01"/>
    <w:rsid w:val="00D10DA4"/>
    <w:rsid w:val="00D14734"/>
    <w:rsid w:val="00D2041D"/>
    <w:rsid w:val="00D258A0"/>
    <w:rsid w:val="00D26C05"/>
    <w:rsid w:val="00D321E6"/>
    <w:rsid w:val="00D36D5F"/>
    <w:rsid w:val="00D4161A"/>
    <w:rsid w:val="00D469F2"/>
    <w:rsid w:val="00D5140C"/>
    <w:rsid w:val="00D55A48"/>
    <w:rsid w:val="00D56AEC"/>
    <w:rsid w:val="00D56CDF"/>
    <w:rsid w:val="00D759BF"/>
    <w:rsid w:val="00D907E6"/>
    <w:rsid w:val="00D91B48"/>
    <w:rsid w:val="00D93CA5"/>
    <w:rsid w:val="00DA301F"/>
    <w:rsid w:val="00DA3F0F"/>
    <w:rsid w:val="00DA4168"/>
    <w:rsid w:val="00DA6AC8"/>
    <w:rsid w:val="00DB6BDE"/>
    <w:rsid w:val="00DC2622"/>
    <w:rsid w:val="00DC45E1"/>
    <w:rsid w:val="00DC5459"/>
    <w:rsid w:val="00DD1EA8"/>
    <w:rsid w:val="00DD3947"/>
    <w:rsid w:val="00DD5A3D"/>
    <w:rsid w:val="00DE026B"/>
    <w:rsid w:val="00DF2962"/>
    <w:rsid w:val="00E07446"/>
    <w:rsid w:val="00E153D2"/>
    <w:rsid w:val="00E24C84"/>
    <w:rsid w:val="00E303C3"/>
    <w:rsid w:val="00E31C33"/>
    <w:rsid w:val="00E36290"/>
    <w:rsid w:val="00E4085F"/>
    <w:rsid w:val="00E47C5C"/>
    <w:rsid w:val="00E504B1"/>
    <w:rsid w:val="00E54649"/>
    <w:rsid w:val="00E5479C"/>
    <w:rsid w:val="00E6315A"/>
    <w:rsid w:val="00E74C15"/>
    <w:rsid w:val="00E74FCC"/>
    <w:rsid w:val="00E75D9A"/>
    <w:rsid w:val="00E823D8"/>
    <w:rsid w:val="00EA1429"/>
    <w:rsid w:val="00EA250A"/>
    <w:rsid w:val="00EB2896"/>
    <w:rsid w:val="00EB5F0D"/>
    <w:rsid w:val="00EB7697"/>
    <w:rsid w:val="00EC70CA"/>
    <w:rsid w:val="00EC7B54"/>
    <w:rsid w:val="00EF0A96"/>
    <w:rsid w:val="00EF1F49"/>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F0492"/>
    <w:rsid w:val="00FF2307"/>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B6E7773"/>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456376"/>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456376"/>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C24FEC"/>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028315">
      <w:bodyDiv w:val="1"/>
      <w:marLeft w:val="0"/>
      <w:marRight w:val="0"/>
      <w:marTop w:val="0"/>
      <w:marBottom w:val="0"/>
      <w:divBdr>
        <w:top w:val="none" w:sz="0" w:space="0" w:color="auto"/>
        <w:left w:val="none" w:sz="0" w:space="0" w:color="auto"/>
        <w:bottom w:val="none" w:sz="0" w:space="0" w:color="auto"/>
        <w:right w:val="none" w:sz="0" w:space="0" w:color="auto"/>
      </w:divBdr>
      <w:divsChild>
        <w:div w:id="619454080">
          <w:marLeft w:val="547"/>
          <w:marRight w:val="0"/>
          <w:marTop w:val="0"/>
          <w:marBottom w:val="180"/>
          <w:divBdr>
            <w:top w:val="none" w:sz="0" w:space="0" w:color="auto"/>
            <w:left w:val="none" w:sz="0" w:space="0" w:color="auto"/>
            <w:bottom w:val="none" w:sz="0" w:space="0" w:color="auto"/>
            <w:right w:val="none" w:sz="0" w:space="0" w:color="auto"/>
          </w:divBdr>
        </w:div>
      </w:divsChild>
    </w:div>
    <w:div w:id="929434114">
      <w:bodyDiv w:val="1"/>
      <w:marLeft w:val="0"/>
      <w:marRight w:val="0"/>
      <w:marTop w:val="0"/>
      <w:marBottom w:val="0"/>
      <w:divBdr>
        <w:top w:val="none" w:sz="0" w:space="0" w:color="auto"/>
        <w:left w:val="none" w:sz="0" w:space="0" w:color="auto"/>
        <w:bottom w:val="none" w:sz="0" w:space="0" w:color="auto"/>
        <w:right w:val="none" w:sz="0" w:space="0" w:color="auto"/>
      </w:divBdr>
    </w:div>
    <w:div w:id="1135175683">
      <w:bodyDiv w:val="1"/>
      <w:marLeft w:val="0"/>
      <w:marRight w:val="0"/>
      <w:marTop w:val="0"/>
      <w:marBottom w:val="0"/>
      <w:divBdr>
        <w:top w:val="none" w:sz="0" w:space="0" w:color="auto"/>
        <w:left w:val="none" w:sz="0" w:space="0" w:color="auto"/>
        <w:bottom w:val="none" w:sz="0" w:space="0" w:color="auto"/>
        <w:right w:val="none" w:sz="0" w:space="0" w:color="auto"/>
      </w:divBdr>
    </w:div>
    <w:div w:id="1165436418">
      <w:bodyDiv w:val="1"/>
      <w:marLeft w:val="0"/>
      <w:marRight w:val="0"/>
      <w:marTop w:val="0"/>
      <w:marBottom w:val="0"/>
      <w:divBdr>
        <w:top w:val="none" w:sz="0" w:space="0" w:color="auto"/>
        <w:left w:val="none" w:sz="0" w:space="0" w:color="auto"/>
        <w:bottom w:val="none" w:sz="0" w:space="0" w:color="auto"/>
        <w:right w:val="none" w:sz="0" w:space="0" w:color="auto"/>
      </w:divBdr>
      <w:divsChild>
        <w:div w:id="275258058">
          <w:marLeft w:val="144"/>
          <w:marRight w:val="0"/>
          <w:marTop w:val="0"/>
          <w:marBottom w:val="180"/>
          <w:divBdr>
            <w:top w:val="none" w:sz="0" w:space="0" w:color="auto"/>
            <w:left w:val="none" w:sz="0" w:space="0" w:color="auto"/>
            <w:bottom w:val="none" w:sz="0" w:space="0" w:color="auto"/>
            <w:right w:val="none" w:sz="0" w:space="0" w:color="auto"/>
          </w:divBdr>
        </w:div>
      </w:divsChild>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632443451">
      <w:bodyDiv w:val="1"/>
      <w:marLeft w:val="0"/>
      <w:marRight w:val="0"/>
      <w:marTop w:val="0"/>
      <w:marBottom w:val="0"/>
      <w:divBdr>
        <w:top w:val="none" w:sz="0" w:space="0" w:color="auto"/>
        <w:left w:val="none" w:sz="0" w:space="0" w:color="auto"/>
        <w:bottom w:val="none" w:sz="0" w:space="0" w:color="auto"/>
        <w:right w:val="none" w:sz="0" w:space="0" w:color="auto"/>
      </w:divBdr>
      <w:divsChild>
        <w:div w:id="187986554">
          <w:marLeft w:val="547"/>
          <w:marRight w:val="0"/>
          <w:marTop w:val="0"/>
          <w:marBottom w:val="180"/>
          <w:divBdr>
            <w:top w:val="none" w:sz="0" w:space="0" w:color="auto"/>
            <w:left w:val="none" w:sz="0" w:space="0" w:color="auto"/>
            <w:bottom w:val="none" w:sz="0" w:space="0" w:color="auto"/>
            <w:right w:val="none" w:sz="0" w:space="0" w:color="auto"/>
          </w:divBdr>
        </w:div>
      </w:divsChild>
    </w:div>
    <w:div w:id="1771310923">
      <w:bodyDiv w:val="1"/>
      <w:marLeft w:val="0"/>
      <w:marRight w:val="0"/>
      <w:marTop w:val="0"/>
      <w:marBottom w:val="0"/>
      <w:divBdr>
        <w:top w:val="none" w:sz="0" w:space="0" w:color="auto"/>
        <w:left w:val="none" w:sz="0" w:space="0" w:color="auto"/>
        <w:bottom w:val="none" w:sz="0" w:space="0" w:color="auto"/>
        <w:right w:val="none" w:sz="0" w:space="0" w:color="auto"/>
      </w:divBdr>
      <w:divsChild>
        <w:div w:id="2083407979">
          <w:marLeft w:val="144"/>
          <w:marRight w:val="0"/>
          <w:marTop w:val="0"/>
          <w:marBottom w:val="180"/>
          <w:divBdr>
            <w:top w:val="none" w:sz="0" w:space="0" w:color="auto"/>
            <w:left w:val="none" w:sz="0" w:space="0" w:color="auto"/>
            <w:bottom w:val="none" w:sz="0" w:space="0" w:color="auto"/>
            <w:right w:val="none" w:sz="0" w:space="0" w:color="auto"/>
          </w:divBdr>
        </w:div>
        <w:div w:id="2093382400">
          <w:marLeft w:val="144"/>
          <w:marRight w:val="0"/>
          <w:marTop w:val="0"/>
          <w:marBottom w:val="180"/>
          <w:divBdr>
            <w:top w:val="none" w:sz="0" w:space="0" w:color="auto"/>
            <w:left w:val="none" w:sz="0" w:space="0" w:color="auto"/>
            <w:bottom w:val="none" w:sz="0" w:space="0" w:color="auto"/>
            <w:right w:val="none" w:sz="0" w:space="0" w:color="auto"/>
          </w:divBdr>
        </w:div>
      </w:divsChild>
    </w:div>
    <w:div w:id="1870680302">
      <w:bodyDiv w:val="1"/>
      <w:marLeft w:val="0"/>
      <w:marRight w:val="0"/>
      <w:marTop w:val="0"/>
      <w:marBottom w:val="0"/>
      <w:divBdr>
        <w:top w:val="none" w:sz="0" w:space="0" w:color="auto"/>
        <w:left w:val="none" w:sz="0" w:space="0" w:color="auto"/>
        <w:bottom w:val="none" w:sz="0" w:space="0" w:color="auto"/>
        <w:right w:val="none" w:sz="0" w:space="0" w:color="auto"/>
      </w:divBdr>
      <w:divsChild>
        <w:div w:id="1401323402">
          <w:marLeft w:val="144"/>
          <w:marRight w:val="0"/>
          <w:marTop w:val="0"/>
          <w:marBottom w:val="180"/>
          <w:divBdr>
            <w:top w:val="none" w:sz="0" w:space="0" w:color="auto"/>
            <w:left w:val="none" w:sz="0" w:space="0" w:color="auto"/>
            <w:bottom w:val="none" w:sz="0" w:space="0" w:color="auto"/>
            <w:right w:val="none" w:sz="0" w:space="0" w:color="auto"/>
          </w:divBdr>
        </w:div>
      </w:divsChild>
    </w:div>
    <w:div w:id="207685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so.ca/Sector-Participants/Engagement-Initiatives/Engagements/Transmission-Rights-Market-Review"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gagement@ieso.ca"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965B7"/>
    <w:rsid w:val="00525F43"/>
    <w:rsid w:val="00B513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5B7"/>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95F80-B82A-435D-860D-B09F8A13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1656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Banner Title</dc:title>
  <dc:subject/>
  <dc:creator>Independent Electricity System Operator</dc:creator>
  <cp:keywords/>
  <dc:description/>
  <cp:lastModifiedBy>Daniela Drazic</cp:lastModifiedBy>
  <cp:revision>4</cp:revision>
  <cp:lastPrinted>2020-04-17T18:00:00Z</cp:lastPrinted>
  <dcterms:created xsi:type="dcterms:W3CDTF">2020-10-19T18:42:00Z</dcterms:created>
  <dcterms:modified xsi:type="dcterms:W3CDTF">2020-10-19T18:44:00Z</dcterms:modified>
  <cp:category/>
</cp:coreProperties>
</file>