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A03362" w:rsidP="006F582B">
      <w:pPr>
        <w:pStyle w:val="Heading2"/>
      </w:pPr>
      <w:r>
        <w:t>2023 Annual Acquisition Report (AAR)</w:t>
      </w:r>
      <w:r w:rsidR="007A1A30">
        <w:t xml:space="preserve"> – </w:t>
      </w:r>
      <w:r>
        <w:t>February 23, 2023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A03362">
        <w:rPr>
          <w:rFonts w:eastAsiaTheme="minorEastAsia" w:cs="Tahoma"/>
          <w:szCs w:val="22"/>
          <w:lang w:val="en-US"/>
        </w:rPr>
        <w:t>February 23,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F251DA">
          <w:rPr>
            <w:rStyle w:val="Hyperlink"/>
            <w:lang w:val="en-US"/>
          </w:rPr>
          <w:t>engagem</w:t>
        </w:r>
        <w:r w:rsidRPr="00F251DA">
          <w:rPr>
            <w:rStyle w:val="Hyperlink"/>
            <w:lang w:val="en-US"/>
          </w:rPr>
          <w:t>e</w:t>
        </w:r>
        <w:r w:rsidRPr="00F251DA">
          <w:rPr>
            <w:rStyle w:val="Hyperlink"/>
            <w:lang w:val="en-US"/>
          </w:rPr>
          <w:t>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="00445DAA" w:rsidRPr="00445DAA">
          <w:rPr>
            <w:rStyle w:val="Hyperlink"/>
            <w:lang w:val="en-US"/>
          </w:rPr>
          <w:t>engagement@ie</w:t>
        </w:r>
        <w:r w:rsidR="00445DAA" w:rsidRPr="00445DAA">
          <w:rPr>
            <w:rStyle w:val="Hyperlink"/>
            <w:lang w:val="en-US"/>
          </w:rPr>
          <w:t>s</w:t>
        </w:r>
        <w:r w:rsidR="00445DAA" w:rsidRPr="00445DAA">
          <w:rPr>
            <w:rStyle w:val="Hyperlink"/>
            <w:lang w:val="en-US"/>
          </w:rPr>
          <w:t>o.ca</w:t>
        </w:r>
      </w:hyperlink>
      <w:r w:rsidR="00445DAA" w:rsidRPr="00445DAA">
        <w:rPr>
          <w:rStyle w:val="Hyperlink"/>
          <w:u w:val="none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A03362">
        <w:rPr>
          <w:rFonts w:eastAsiaTheme="minorEastAsia" w:cs="Tahoma"/>
          <w:b/>
          <w:szCs w:val="22"/>
          <w:lang w:val="en-US"/>
        </w:rPr>
        <w:t>March 9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:rsidR="00C04795" w:rsidRPr="004200EA" w:rsidRDefault="00F251DA" w:rsidP="00EF1F49">
      <w:pPr>
        <w:pStyle w:val="Heading3"/>
      </w:pPr>
      <w:bookmarkStart w:id="0" w:name="_Toc35868671"/>
      <w:r>
        <w:lastRenderedPageBreak/>
        <w:t xml:space="preserve">Questions Directed at </w:t>
      </w:r>
      <w:r w:rsidR="00A03362">
        <w:t>All Resource Types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4200EA" w:rsidRPr="006B7128" w:rsidRDefault="00737508" w:rsidP="00F251DA">
            <w:pPr>
              <w:pStyle w:val="TableNumeralsLeftAlignment"/>
            </w:pPr>
            <w:r w:rsidRPr="00830925">
              <w:t xml:space="preserve">Do you agree with the IESO recognizing market exit as an uncertainty and </w:t>
            </w:r>
            <w:r w:rsidR="00F251DA">
              <w:t>its intention to consider</w:t>
            </w:r>
            <w:r w:rsidR="00830925">
              <w:t xml:space="preserve"> </w:t>
            </w:r>
            <w:r w:rsidR="00F251DA">
              <w:t>that some facilities</w:t>
            </w:r>
            <w:r w:rsidR="00830925">
              <w:t xml:space="preserve"> </w:t>
            </w:r>
            <w:r w:rsidR="00F251DA">
              <w:t xml:space="preserve">exit the market in its analysis?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DA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476DBF" w:rsidRDefault="00737508" w:rsidP="00F251DA">
            <w:pPr>
              <w:pStyle w:val="TableNumeralsLeftAlignment"/>
            </w:pPr>
            <w:r w:rsidRPr="00F251DA">
              <w:t>Do you expect your facility to participate in the next 5-10 years?</w:t>
            </w:r>
          </w:p>
          <w:p w:rsidR="00F251DA" w:rsidRDefault="00F251DA" w:rsidP="00F251DA">
            <w:pPr>
              <w:pStyle w:val="TableNumeralsLeftAlignment"/>
            </w:pPr>
          </w:p>
          <w:p w:rsidR="00F251DA" w:rsidRPr="00830925" w:rsidRDefault="00737508" w:rsidP="00F251DA">
            <w:pPr>
              <w:pStyle w:val="TableNumeralsLeftAlignment"/>
            </w:pPr>
            <w:r w:rsidRPr="00F251DA">
              <w:t>What are some considerations that may impact participation?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F251DA" w:rsidRDefault="00F251DA" w:rsidP="00F832B8">
            <w:pPr>
              <w:pStyle w:val="TableNumeralsLeftAlignment"/>
            </w:pPr>
          </w:p>
        </w:tc>
      </w:tr>
      <w:tr w:rsidR="00F251DA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F251DA" w:rsidRPr="00830925" w:rsidRDefault="00F251DA" w:rsidP="00F251DA">
            <w:pPr>
              <w:pStyle w:val="TableNumeralsLeftAlignment"/>
            </w:pPr>
            <w:r w:rsidRPr="00F251DA">
              <w:rPr>
                <w:lang w:val="en-CA"/>
              </w:rPr>
              <w:t>Facilities require regular maintenance and operational activities throughout their lifecycle. At what year of life would your facility require significant capital investments to extend its usable life? How long of a commitment would you expect to pay-off significant capital investments?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F251DA" w:rsidRDefault="00F251DA" w:rsidP="00F832B8">
            <w:pPr>
              <w:pStyle w:val="TableNumeralsLeftAlignment"/>
            </w:pPr>
          </w:p>
        </w:tc>
      </w:tr>
      <w:tr w:rsidR="00F251DA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F251DA" w:rsidRPr="00412DBE" w:rsidRDefault="00737508" w:rsidP="00D51471">
            <w:pPr>
              <w:pStyle w:val="TableNumeralsLeftAlignment"/>
              <w:rPr>
                <w:lang w:val="en-CA"/>
              </w:rPr>
            </w:pPr>
            <w:r w:rsidRPr="00F251DA">
              <w:t>How can existing assets</w:t>
            </w:r>
            <w:r w:rsidR="00D51471">
              <w:t xml:space="preserve"> be maximized</w:t>
            </w:r>
            <w:r w:rsidRPr="00F251DA">
              <w:t>? What is needed for these facilities to stay and continue operation?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F251DA" w:rsidRDefault="00F251DA" w:rsidP="00F832B8">
            <w:pPr>
              <w:pStyle w:val="TableNumeralsLeftAlignment"/>
            </w:pPr>
          </w:p>
        </w:tc>
      </w:tr>
      <w:tr w:rsidR="00F251DA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F251DA" w:rsidRPr="00F251DA" w:rsidRDefault="00F251DA" w:rsidP="00F251DA">
            <w:pPr>
              <w:pStyle w:val="TableNumeralsLeftAlignment"/>
              <w:rPr>
                <w:lang w:val="en-CA"/>
              </w:rPr>
            </w:pPr>
            <w:r w:rsidRPr="00F251DA">
              <w:t>Is repowering your facility(</w:t>
            </w:r>
            <w:proofErr w:type="spellStart"/>
            <w:r w:rsidRPr="00F251DA">
              <w:t>ies</w:t>
            </w:r>
            <w:proofErr w:type="spellEnd"/>
            <w:r w:rsidRPr="00F251DA">
              <w:t xml:space="preserve">) </w:t>
            </w:r>
            <w:r>
              <w:t xml:space="preserve">with a renewable fuel an option </w:t>
            </w:r>
            <w:r w:rsidRPr="00F251DA">
              <w:t>for future participation, and if so, what wou</w:t>
            </w:r>
            <w:r>
              <w:t xml:space="preserve">ld be the earliest timeline for </w:t>
            </w:r>
            <w:r w:rsidRPr="00F251DA">
              <w:t>this?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F251DA" w:rsidRDefault="00F251DA" w:rsidP="00F832B8">
            <w:pPr>
              <w:pStyle w:val="TableNumeralsLeftAlignment"/>
            </w:pPr>
          </w:p>
        </w:tc>
      </w:tr>
    </w:tbl>
    <w:p w:rsidR="00197EE4" w:rsidRDefault="00197EE4" w:rsidP="00456376">
      <w:pPr>
        <w:pStyle w:val="BodyText"/>
      </w:pPr>
    </w:p>
    <w:p w:rsidR="00915C81" w:rsidRDefault="00F251DA" w:rsidP="00915C81">
      <w:pPr>
        <w:pStyle w:val="Heading3"/>
      </w:pPr>
      <w:r>
        <w:t>Questions Directed at Natural Gas Facilities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915C81" w:rsidRPr="00F251DA" w:rsidRDefault="00737508" w:rsidP="00F251DA">
            <w:pPr>
              <w:pStyle w:val="TableNumeralsLeftAlignment"/>
              <w:rPr>
                <w:lang w:val="en-CA"/>
              </w:rPr>
            </w:pPr>
            <w:r w:rsidRPr="00F251DA">
              <w:t>How do you interpret the</w:t>
            </w:r>
            <w:r w:rsidR="00F251DA">
              <w:t xml:space="preserve"> expected</w:t>
            </w:r>
            <w:r w:rsidRPr="00F251DA">
              <w:t xml:space="preserve"> Clean Electricity Regulations (CER) in terms of the impact on the future operation of your facilities, including for emergency use purposes?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1DA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F251DA" w:rsidRPr="00412DBE" w:rsidRDefault="00737508" w:rsidP="00F251DA">
            <w:pPr>
              <w:pStyle w:val="TableNumeralsLeftAlignment"/>
              <w:rPr>
                <w:lang w:val="en-CA"/>
              </w:rPr>
            </w:pPr>
            <w:r w:rsidRPr="00F251DA">
              <w:lastRenderedPageBreak/>
              <w:t>What impact will the rising federal carbon price have on the operation of your facilities in 2030 and beyond?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F251DA" w:rsidRDefault="00F251DA" w:rsidP="00E17E7F">
            <w:pPr>
              <w:pStyle w:val="TableNumeralsLeftAlignment"/>
            </w:pPr>
          </w:p>
        </w:tc>
      </w:tr>
    </w:tbl>
    <w:p w:rsidR="00C37949" w:rsidRDefault="00C37949" w:rsidP="00C37949">
      <w:pPr>
        <w:pStyle w:val="BodyText"/>
      </w:pPr>
    </w:p>
    <w:p w:rsidR="00050EB5" w:rsidRDefault="00F251DA" w:rsidP="00050EB5">
      <w:pPr>
        <w:pStyle w:val="Heading3"/>
      </w:pPr>
      <w:r>
        <w:t>Other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050EB5" w:rsidRPr="006B7128" w:rsidRDefault="00F251DA" w:rsidP="00081167">
            <w:pPr>
              <w:pStyle w:val="TableNumeralsLeftAlignment"/>
            </w:pPr>
            <w:r>
              <w:t>Has the IESO missed any considerations in terms of the future participation of existing resources?</w:t>
            </w: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50EB5" w:rsidRDefault="00050EB5" w:rsidP="00050EB5">
      <w:pPr>
        <w:pStyle w:val="BodyText"/>
      </w:pPr>
    </w:p>
    <w:p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Start w:id="1" w:name="_GoBack" w:displacedByCustomXml="prev"/>
    <w:bookmarkEnd w:id="1" w:displacedByCustomXml="prev"/>
    <w:bookmarkEnd w:id="0" w:displacedByCustomXml="prev"/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8D" w:rsidRDefault="00E2438D" w:rsidP="00F83314">
      <w:r>
        <w:separator/>
      </w:r>
    </w:p>
    <w:p w:rsidR="00E2438D" w:rsidRDefault="00E2438D"/>
  </w:endnote>
  <w:endnote w:type="continuationSeparator" w:id="0">
    <w:p w:rsidR="00E2438D" w:rsidRDefault="00E2438D" w:rsidP="00F83314">
      <w:r>
        <w:continuationSeparator/>
      </w:r>
    </w:p>
    <w:p w:rsidR="00E2438D" w:rsidRDefault="00E24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45DA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C6016F" w:rsidRDefault="00FF6EBE" w:rsidP="00871E07">
    <w:pPr>
      <w:pStyle w:val="Footer"/>
      <w:ind w:right="360"/>
    </w:pPr>
    <w:r>
      <w:t>Annual Acquisition Report 21</w:t>
    </w:r>
    <w:r w:rsidR="00FC7434">
      <w:t>/</w:t>
    </w:r>
    <w:r>
      <w:t>February</w:t>
    </w:r>
    <w:r w:rsidR="00FC7434">
      <w:t>/</w:t>
    </w:r>
    <w:r w:rsidR="00445DAA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445DAA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8D" w:rsidRDefault="00E2438D">
      <w:r>
        <w:separator/>
      </w:r>
    </w:p>
  </w:footnote>
  <w:footnote w:type="continuationSeparator" w:id="0">
    <w:p w:rsidR="00E2438D" w:rsidRDefault="00E2438D" w:rsidP="00F83314">
      <w:r>
        <w:continuationSeparator/>
      </w:r>
    </w:p>
    <w:p w:rsidR="00E2438D" w:rsidRDefault="00E243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2B2244F"/>
    <w:multiLevelType w:val="hybridMultilevel"/>
    <w:tmpl w:val="4D68F232"/>
    <w:lvl w:ilvl="0" w:tplc="F950F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EE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2C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A1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05D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24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A1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0B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7042BD2"/>
    <w:multiLevelType w:val="hybridMultilevel"/>
    <w:tmpl w:val="7F0EAA00"/>
    <w:lvl w:ilvl="0" w:tplc="7674CD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85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E1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900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C3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45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4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ED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81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F361778"/>
    <w:multiLevelType w:val="multilevel"/>
    <w:tmpl w:val="0409001D"/>
    <w:numStyleLink w:val="1ai"/>
  </w:abstractNum>
  <w:abstractNum w:abstractNumId="22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814DA4"/>
    <w:multiLevelType w:val="hybridMultilevel"/>
    <w:tmpl w:val="870EC826"/>
    <w:lvl w:ilvl="0" w:tplc="F5FA3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86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C5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82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E2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24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A1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AC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5292E6A"/>
    <w:multiLevelType w:val="hybridMultilevel"/>
    <w:tmpl w:val="5B706A18"/>
    <w:lvl w:ilvl="0" w:tplc="B4C8D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40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25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45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A9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E9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AC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69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A6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62B5F"/>
    <w:multiLevelType w:val="hybridMultilevel"/>
    <w:tmpl w:val="4A2E5212"/>
    <w:lvl w:ilvl="0" w:tplc="11BE10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C6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C5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C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013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81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6A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49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8A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D651262"/>
    <w:multiLevelType w:val="hybridMultilevel"/>
    <w:tmpl w:val="F222B378"/>
    <w:lvl w:ilvl="0" w:tplc="8E6651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04A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528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4D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20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BCF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A1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AC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2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5866CA3"/>
    <w:multiLevelType w:val="hybridMultilevel"/>
    <w:tmpl w:val="D57A3722"/>
    <w:lvl w:ilvl="0" w:tplc="6166FB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41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0A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84D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6E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5EF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CE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C1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76A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83038"/>
    <w:multiLevelType w:val="hybridMultilevel"/>
    <w:tmpl w:val="32A8C0C6"/>
    <w:lvl w:ilvl="0" w:tplc="F996A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A2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E9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C1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0B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CE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0E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C7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00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2"/>
  </w:num>
  <w:num w:numId="12">
    <w:abstractNumId w:val="40"/>
  </w:num>
  <w:num w:numId="13">
    <w:abstractNumId w:val="15"/>
  </w:num>
  <w:num w:numId="14">
    <w:abstractNumId w:val="22"/>
  </w:num>
  <w:num w:numId="15">
    <w:abstractNumId w:val="24"/>
  </w:num>
  <w:num w:numId="16">
    <w:abstractNumId w:val="21"/>
  </w:num>
  <w:num w:numId="17">
    <w:abstractNumId w:val="28"/>
  </w:num>
  <w:num w:numId="18">
    <w:abstractNumId w:val="11"/>
  </w:num>
  <w:num w:numId="19">
    <w:abstractNumId w:val="33"/>
  </w:num>
  <w:num w:numId="20">
    <w:abstractNumId w:val="23"/>
  </w:num>
  <w:num w:numId="21">
    <w:abstractNumId w:val="34"/>
  </w:num>
  <w:num w:numId="22">
    <w:abstractNumId w:val="31"/>
  </w:num>
  <w:num w:numId="23">
    <w:abstractNumId w:val="36"/>
  </w:num>
  <w:num w:numId="24">
    <w:abstractNumId w:val="17"/>
  </w:num>
  <w:num w:numId="25">
    <w:abstractNumId w:val="20"/>
  </w:num>
  <w:num w:numId="26">
    <w:abstractNumId w:val="39"/>
  </w:num>
  <w:num w:numId="27">
    <w:abstractNumId w:val="14"/>
  </w:num>
  <w:num w:numId="28">
    <w:abstractNumId w:val="42"/>
  </w:num>
  <w:num w:numId="29">
    <w:abstractNumId w:val="18"/>
  </w:num>
  <w:num w:numId="30">
    <w:abstractNumId w:val="38"/>
  </w:num>
  <w:num w:numId="31">
    <w:abstractNumId w:val="16"/>
  </w:num>
  <w:num w:numId="32">
    <w:abstractNumId w:val="26"/>
  </w:num>
  <w:num w:numId="33">
    <w:abstractNumId w:val="3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5"/>
  </w:num>
  <w:num w:numId="40">
    <w:abstractNumId w:val="41"/>
  </w:num>
  <w:num w:numId="41">
    <w:abstractNumId w:val="9"/>
  </w:num>
  <w:num w:numId="42">
    <w:abstractNumId w:val="37"/>
  </w:num>
  <w:num w:numId="43">
    <w:abstractNumId w:val="32"/>
  </w:num>
  <w:num w:numId="44">
    <w:abstractNumId w:val="19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12DBE"/>
    <w:rsid w:val="004200EA"/>
    <w:rsid w:val="0042208A"/>
    <w:rsid w:val="00424BA0"/>
    <w:rsid w:val="00426D11"/>
    <w:rsid w:val="00445DAA"/>
    <w:rsid w:val="00456376"/>
    <w:rsid w:val="00476DBF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53D18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37508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0925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3362"/>
    <w:rsid w:val="00A04369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7567A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1471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38D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51DA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00FF6EBE"/>
    <w:rsid w:val="65159CA7"/>
    <w:rsid w:val="6F2FBDA2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C47B6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0951">
          <w:marLeft w:val="100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553">
          <w:marLeft w:val="100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935">
          <w:marLeft w:val="100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4299">
          <w:marLeft w:val="14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820">
          <w:marLeft w:val="100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995">
          <w:marLeft w:val="100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0917">
          <w:marLeft w:val="100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403">
          <w:marLeft w:val="100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en/Sector-Participants/Engagement-Initiatives/Engagements/Annual-Acquisition-Report-202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7D6E92"/>
    <w:rsid w:val="00966CA8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B1F2E1D1B8149BE59BDF220BEFC19" ma:contentTypeVersion="4" ma:contentTypeDescription="Create a new document." ma:contentTypeScope="" ma:versionID="5a9ad7d9d1f9ed21b60b056598dad587">
  <xsd:schema xmlns:xsd="http://www.w3.org/2001/XMLSchema" xmlns:xs="http://www.w3.org/2001/XMLSchema" xmlns:p="http://schemas.microsoft.com/office/2006/metadata/properties" xmlns:ns2="edf5fdc8-a94e-47f7-a6a5-fa88e72aadc7" xmlns:ns3="b50862b8-5750-4c8c-a3f1-896f9b6b1a6f" targetNamespace="http://schemas.microsoft.com/office/2006/metadata/properties" ma:root="true" ma:fieldsID="aef69d81f295d76fa358b6dce26b946c" ns2:_="" ns3:_="">
    <xsd:import namespace="edf5fdc8-a94e-47f7-a6a5-fa88e72aadc7"/>
    <xsd:import namespace="b50862b8-5750-4c8c-a3f1-896f9b6b1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5fdc8-a94e-47f7-a6a5-fa88e72aa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862b8-5750-4c8c-a3f1-896f9b6b1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C2074-5777-4389-BBDD-09F672A689F1}">
  <ds:schemaRefs>
    <ds:schemaRef ds:uri="http://purl.org/dc/terms/"/>
    <ds:schemaRef ds:uri="edf5fdc8-a94e-47f7-a6a5-fa88e72aadc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50862b8-5750-4c8c-a3f1-896f9b6b1a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588CA-700B-4ABA-A128-BF58198A2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5fdc8-a94e-47f7-a6a5-fa88e72aadc7"/>
    <ds:schemaRef ds:uri="b50862b8-5750-4c8c-a3f1-896f9b6b1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DADD4-5607-437B-9F31-A6F31E61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Annual Acquisition Report (AAR) – February 23, 2023 Feedback Form</dc:title>
  <dc:subject/>
  <dc:creator>Independent Electricity System Operator (IESO)</dc:creator>
  <cp:keywords/>
  <dc:description/>
  <cp:lastModifiedBy>Daniela Drazic</cp:lastModifiedBy>
  <cp:revision>8</cp:revision>
  <cp:lastPrinted>2020-04-17T18:00:00Z</cp:lastPrinted>
  <dcterms:created xsi:type="dcterms:W3CDTF">2023-02-09T18:42:00Z</dcterms:created>
  <dcterms:modified xsi:type="dcterms:W3CDTF">2023-02-21T19:31:00Z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0x010100484B1F2E1D1B8149BE59BDF220BEFC19</vt:lpwstr>
  </property>
</Properties>
</file>