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872EF" w14:textId="77777777" w:rsidR="00D56AEC" w:rsidRDefault="0035658F" w:rsidP="00456376">
      <w:pPr>
        <w:pStyle w:val="BodyText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A5B61" wp14:editId="25B08CFA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202A6" w14:textId="77777777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5B61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0FE202A6" w14:textId="77777777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CE0C7F" w14:textId="77777777" w:rsidR="005A5EF9" w:rsidRDefault="005A5EF9" w:rsidP="005A5EF9">
      <w:pPr>
        <w:pStyle w:val="YellowBarHeading2"/>
      </w:pPr>
    </w:p>
    <w:p w14:paraId="6B0C13B9" w14:textId="77777777" w:rsidR="00CC6A68" w:rsidRDefault="008002FD" w:rsidP="006F582B">
      <w:pPr>
        <w:pStyle w:val="Heading2"/>
      </w:pPr>
      <w:r>
        <w:t>Annual Acquisition R</w:t>
      </w:r>
      <w:r w:rsidR="00CC6A68">
        <w:t>eport</w:t>
      </w:r>
    </w:p>
    <w:p w14:paraId="00C23D88" w14:textId="36B22396" w:rsidR="006F582B" w:rsidRDefault="008002FD" w:rsidP="006F582B">
      <w:pPr>
        <w:pStyle w:val="Heading2"/>
      </w:pPr>
      <w:r>
        <w:t>Public Information Session – April 8, 2022</w:t>
      </w:r>
    </w:p>
    <w:p w14:paraId="36BF3245" w14:textId="77777777" w:rsidR="009B6BAE" w:rsidRDefault="009B6BAE" w:rsidP="006E7BD2">
      <w:pPr>
        <w:pStyle w:val="Heading3"/>
      </w:pPr>
      <w:r>
        <w:t>Feedback Provided by:</w:t>
      </w:r>
    </w:p>
    <w:p w14:paraId="5FF84CD2" w14:textId="77777777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53A7EBBB" w14:textId="77777777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C0B3DCC" w14:textId="77777777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64EA549" w14:textId="7777777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1227A3D6" w14:textId="77777777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15C4F2B4" w14:textId="77777777" w:rsidR="009362BC" w:rsidRDefault="009362BC" w:rsidP="009362BC">
      <w:pPr>
        <w:pStyle w:val="BodyText"/>
      </w:pPr>
    </w:p>
    <w:p w14:paraId="547B7212" w14:textId="491BE057" w:rsidR="002F4C3F" w:rsidRPr="00C42E0F" w:rsidRDefault="00CF0207" w:rsidP="00C42E0F">
      <w:pPr>
        <w:pStyle w:val="BodyText"/>
      </w:pPr>
      <w:r w:rsidRPr="00CF0207">
        <w:rPr>
          <w:lang w:val="en-CA"/>
        </w:rPr>
        <w:t xml:space="preserve">Following the </w:t>
      </w:r>
      <w:r w:rsidR="008002FD">
        <w:rPr>
          <w:lang w:val="en-CA"/>
        </w:rPr>
        <w:t>April 8</w:t>
      </w:r>
      <w:r w:rsidR="007D5DC6" w:rsidRPr="007D5DC6">
        <w:rPr>
          <w:vertAlign w:val="superscript"/>
          <w:lang w:val="en-CA"/>
        </w:rPr>
        <w:t>h</w:t>
      </w:r>
      <w:r w:rsidR="007D5DC6">
        <w:rPr>
          <w:lang w:val="en-CA"/>
        </w:rPr>
        <w:t xml:space="preserve"> </w:t>
      </w:r>
      <w:r w:rsidRPr="00CF0207">
        <w:rPr>
          <w:lang w:val="en-CA"/>
        </w:rPr>
        <w:t xml:space="preserve">public </w:t>
      </w:r>
      <w:r w:rsidR="008002FD">
        <w:rPr>
          <w:lang w:val="en-CA"/>
        </w:rPr>
        <w:t xml:space="preserve">information session on the Annual Acquisition Report (AAR), </w:t>
      </w:r>
      <w:r w:rsidRPr="00CF0207">
        <w:rPr>
          <w:lang w:val="en-CA"/>
        </w:rPr>
        <w:t>the Independent E</w:t>
      </w:r>
      <w:r w:rsidR="000001A0">
        <w:rPr>
          <w:lang w:val="en-CA"/>
        </w:rPr>
        <w:t>lectricity System Operator (IESO</w:t>
      </w:r>
      <w:r w:rsidRPr="00CF0207">
        <w:rPr>
          <w:lang w:val="en-CA"/>
        </w:rPr>
        <w:t xml:space="preserve">) </w:t>
      </w:r>
      <w:r w:rsidR="00B15381">
        <w:rPr>
          <w:lang w:val="en-CA"/>
        </w:rPr>
        <w:t xml:space="preserve">is </w:t>
      </w:r>
      <w:r w:rsidRPr="00CF0207">
        <w:rPr>
          <w:lang w:val="en-CA"/>
        </w:rPr>
        <w:t>seekin</w:t>
      </w:r>
      <w:r w:rsidR="00A91F80">
        <w:rPr>
          <w:lang w:val="en-CA"/>
        </w:rPr>
        <w:t xml:space="preserve">g feedback from participants </w:t>
      </w:r>
      <w:r w:rsidR="00C42E0F">
        <w:t xml:space="preserve">on a variety of </w:t>
      </w:r>
      <w:r w:rsidR="008002FD">
        <w:t xml:space="preserve">questions and details included in the report and session on April 8 </w:t>
      </w:r>
      <w:r w:rsidR="004E1708" w:rsidRPr="00C42E0F">
        <w:t>to help further inform</w:t>
      </w:r>
      <w:r w:rsidR="008002FD">
        <w:t xml:space="preserve"> the path forward on meeting the needs identified in the AAR</w:t>
      </w:r>
      <w:r w:rsidR="00870829">
        <w:t>.</w:t>
      </w:r>
    </w:p>
    <w:p w14:paraId="6C8D64BA" w14:textId="2C2518F7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>The referenced presentation</w:t>
      </w:r>
      <w:r w:rsidR="006259BB">
        <w:rPr>
          <w:lang w:val="en-CA"/>
        </w:rPr>
        <w:t xml:space="preserve"> </w:t>
      </w:r>
      <w:r w:rsidRPr="00CF0207">
        <w:rPr>
          <w:lang w:val="en-CA"/>
        </w:rPr>
        <w:t xml:space="preserve">can be found on the </w:t>
      </w:r>
      <w:hyperlink r:id="rId8" w:history="1">
        <w:r w:rsidR="008002FD" w:rsidRPr="008863ED">
          <w:rPr>
            <w:rStyle w:val="Hyperlink"/>
          </w:rPr>
          <w:t>AAR webpage</w:t>
        </w:r>
        <w:r w:rsidR="008002FD" w:rsidRPr="008863ED">
          <w:rPr>
            <w:rStyle w:val="Hyperlink"/>
            <w:rFonts w:cs="Tahoma"/>
            <w:noProof w:val="0"/>
            <w:u w:val="none"/>
          </w:rPr>
          <w:t>.</w:t>
        </w:r>
      </w:hyperlink>
    </w:p>
    <w:p w14:paraId="5F5395E6" w14:textId="0977EBD2" w:rsidR="005426F9" w:rsidRPr="008002FD" w:rsidRDefault="00CF0207" w:rsidP="00CF0207">
      <w:pPr>
        <w:pStyle w:val="BodyText"/>
        <w:rPr>
          <w:lang w:val="en-CA"/>
        </w:rPr>
      </w:pPr>
      <w:r w:rsidRPr="008002FD">
        <w:rPr>
          <w:color w:val="auto"/>
          <w:lang w:val="en-CA"/>
        </w:rPr>
        <w:t>Please provide feedback by</w:t>
      </w:r>
      <w:r w:rsidRPr="008002FD">
        <w:rPr>
          <w:b/>
          <w:color w:val="auto"/>
          <w:lang w:val="en-CA"/>
        </w:rPr>
        <w:t xml:space="preserve"> </w:t>
      </w:r>
      <w:r w:rsidR="008002FD" w:rsidRPr="008002FD">
        <w:rPr>
          <w:b/>
          <w:color w:val="FF0000"/>
          <w:lang w:val="en-CA"/>
        </w:rPr>
        <w:t>A</w:t>
      </w:r>
      <w:r w:rsidR="008002FD">
        <w:rPr>
          <w:b/>
          <w:color w:val="FF0000"/>
          <w:lang w:val="en-CA"/>
        </w:rPr>
        <w:t xml:space="preserve">pril, </w:t>
      </w:r>
      <w:r w:rsidR="008002FD" w:rsidRPr="008002FD">
        <w:rPr>
          <w:b/>
          <w:color w:val="FF0000"/>
          <w:lang w:val="en-CA"/>
        </w:rPr>
        <w:t>27 2</w:t>
      </w:r>
      <w:r w:rsidR="007D5DC6" w:rsidRPr="008002FD">
        <w:rPr>
          <w:b/>
          <w:color w:val="FF0000"/>
          <w:lang w:val="en-CA"/>
        </w:rPr>
        <w:t>022</w:t>
      </w:r>
      <w:r w:rsidRPr="008002FD">
        <w:rPr>
          <w:b/>
          <w:color w:val="FF0000"/>
          <w:lang w:val="en-CA"/>
        </w:rPr>
        <w:t xml:space="preserve"> </w:t>
      </w:r>
      <w:r w:rsidR="009712B7">
        <w:rPr>
          <w:b/>
          <w:lang w:val="en-CA"/>
        </w:rPr>
        <w:t xml:space="preserve">to </w:t>
      </w:r>
      <w:hyperlink r:id="rId9" w:history="1">
        <w:r w:rsidR="009712B7" w:rsidRPr="00403A58">
          <w:rPr>
            <w:rStyle w:val="Hyperlink"/>
            <w:b/>
          </w:rPr>
          <w:t>engagement@ieso.ca</w:t>
        </w:r>
      </w:hyperlink>
      <w:r w:rsidR="008002FD">
        <w:rPr>
          <w:lang w:val="en-CA"/>
        </w:rPr>
        <w:t xml:space="preserve">.  Also, please feel free to send any </w:t>
      </w:r>
      <w:r w:rsidR="008002FD" w:rsidRPr="008002FD">
        <w:rPr>
          <w:lang w:val="en-CA"/>
        </w:rPr>
        <w:t xml:space="preserve">questions </w:t>
      </w:r>
      <w:r w:rsidR="008002FD">
        <w:rPr>
          <w:lang w:val="en-CA"/>
        </w:rPr>
        <w:t xml:space="preserve">or request for clarification on the AAR </w:t>
      </w:r>
      <w:r w:rsidR="008002FD" w:rsidRPr="008002FD">
        <w:rPr>
          <w:lang w:val="en-CA"/>
        </w:rPr>
        <w:t>in advance of the April 20 engagement session</w:t>
      </w:r>
      <w:r w:rsidR="008002FD">
        <w:rPr>
          <w:lang w:val="en-CA"/>
        </w:rPr>
        <w:t xml:space="preserve">.  This will ensure the </w:t>
      </w:r>
      <w:r w:rsidR="008002FD" w:rsidRPr="008002FD">
        <w:rPr>
          <w:lang w:val="en-CA"/>
        </w:rPr>
        <w:t xml:space="preserve">IESO </w:t>
      </w:r>
      <w:r w:rsidR="008002FD">
        <w:rPr>
          <w:lang w:val="en-CA"/>
        </w:rPr>
        <w:t xml:space="preserve">is prepared to help </w:t>
      </w:r>
      <w:r w:rsidR="008002FD" w:rsidRPr="008002FD">
        <w:rPr>
          <w:lang w:val="en-CA"/>
        </w:rPr>
        <w:t xml:space="preserve">inform </w:t>
      </w:r>
      <w:r w:rsidR="008002FD">
        <w:rPr>
          <w:lang w:val="en-CA"/>
        </w:rPr>
        <w:t xml:space="preserve">stakeholder </w:t>
      </w:r>
      <w:r w:rsidR="008002FD" w:rsidRPr="008002FD">
        <w:rPr>
          <w:lang w:val="en-CA"/>
        </w:rPr>
        <w:t>feedback</w:t>
      </w:r>
      <w:r w:rsidR="004F0801">
        <w:rPr>
          <w:lang w:val="en-CA"/>
        </w:rPr>
        <w:t xml:space="preserve"> before the April </w:t>
      </w:r>
      <w:r w:rsidR="008002FD">
        <w:rPr>
          <w:lang w:val="en-CA"/>
        </w:rPr>
        <w:t>27 deadline</w:t>
      </w:r>
      <w:r w:rsidR="008002FD" w:rsidRPr="008002FD">
        <w:rPr>
          <w:lang w:val="en-CA"/>
        </w:rPr>
        <w:t>.</w:t>
      </w:r>
      <w:r w:rsidR="00A37992">
        <w:rPr>
          <w:lang w:val="en-CA"/>
        </w:rPr>
        <w:t xml:space="preserve"> </w:t>
      </w:r>
    </w:p>
    <w:p w14:paraId="694A4399" w14:textId="06045EE1" w:rsidR="00CF0207" w:rsidRPr="00CF0207" w:rsidRDefault="00CF0207" w:rsidP="00CF0207">
      <w:pPr>
        <w:pStyle w:val="BodyText"/>
        <w:rPr>
          <w:lang w:val="en-CA"/>
        </w:rPr>
      </w:pPr>
    </w:p>
    <w:p w14:paraId="61103FFD" w14:textId="77777777" w:rsidR="00E81A05" w:rsidRDefault="00E81A05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0" w:name="_Toc35868671"/>
      <w:r>
        <w:br w:type="page"/>
      </w:r>
    </w:p>
    <w:p w14:paraId="4773ACF8" w14:textId="467E05CD" w:rsidR="00C04795" w:rsidRPr="004200EA" w:rsidRDefault="00975039" w:rsidP="00EF1F49">
      <w:pPr>
        <w:pStyle w:val="Heading3"/>
      </w:pPr>
      <w:r w:rsidRPr="00975039">
        <w:lastRenderedPageBreak/>
        <w:t>Same Technology Expansions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4200EA" w:rsidRPr="006B7128" w14:paraId="17B37E2F" w14:textId="77777777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3BBF7AB0" w14:textId="77777777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BD28E8D" w14:textId="77777777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8002FD" w:rsidRPr="006B7128" w14:paraId="2DE92CF6" w14:textId="77777777" w:rsidTr="008002FD">
        <w:trPr>
          <w:cantSplit/>
          <w:trHeight w:val="625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5717A2A4" w14:textId="77777777" w:rsidR="00975039" w:rsidRPr="00975039" w:rsidRDefault="00975039" w:rsidP="00975039">
            <w:pPr>
              <w:spacing w:after="0" w:line="240" w:lineRule="auto"/>
              <w:rPr>
                <w:rFonts w:cs="Tahoma"/>
              </w:rPr>
            </w:pPr>
            <w:r w:rsidRPr="00975039">
              <w:rPr>
                <w:rFonts w:cs="Tahoma"/>
              </w:rPr>
              <w:t>What procurement/negotiation timelines (i.e., contract execution) and forward period would be required to support a 2025 in-service date?</w:t>
            </w:r>
          </w:p>
          <w:p w14:paraId="24BB23A6" w14:textId="20E68643" w:rsidR="008002FD" w:rsidRDefault="008002FD" w:rsidP="00975039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A536F7F" w14:textId="77777777" w:rsidR="008002FD" w:rsidRPr="006D7540" w:rsidRDefault="008002FD" w:rsidP="00DC09F6">
            <w:pPr>
              <w:pStyle w:val="TableNumeralsLeftAlignment"/>
            </w:pPr>
          </w:p>
        </w:tc>
      </w:tr>
      <w:tr w:rsidR="008002FD" w:rsidRPr="006B7128" w14:paraId="313293C7" w14:textId="77777777" w:rsidTr="008002FD">
        <w:trPr>
          <w:cantSplit/>
          <w:trHeight w:val="823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6C08EE6F" w14:textId="77777777" w:rsidR="00975039" w:rsidRPr="00975039" w:rsidRDefault="00975039" w:rsidP="00975039">
            <w:pPr>
              <w:spacing w:after="0" w:line="240" w:lineRule="auto"/>
              <w:rPr>
                <w:rFonts w:cs="Tahoma"/>
              </w:rPr>
            </w:pPr>
            <w:r w:rsidRPr="00975039">
              <w:rPr>
                <w:rFonts w:cs="Tahoma"/>
              </w:rPr>
              <w:t>Is there any other external support (e.g., from the IESO) that would be needed to help proponents meet expedited development timelines?</w:t>
            </w:r>
          </w:p>
          <w:p w14:paraId="0252FCBE" w14:textId="77777777" w:rsidR="008002FD" w:rsidRDefault="008002FD" w:rsidP="00781262">
            <w:pPr>
              <w:spacing w:after="0" w:line="240" w:lineRule="auto"/>
              <w:rPr>
                <w:rFonts w:cs="Tahoma"/>
              </w:rPr>
            </w:pPr>
            <w:bookmarkStart w:id="1" w:name="_GoBack"/>
            <w:bookmarkEnd w:id="1"/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4B6BB0C" w14:textId="77777777" w:rsidR="008002FD" w:rsidRPr="006D7540" w:rsidRDefault="008002FD" w:rsidP="00DC09F6">
            <w:pPr>
              <w:pStyle w:val="TableNumeralsLeftAlignment"/>
            </w:pPr>
          </w:p>
        </w:tc>
      </w:tr>
      <w:tr w:rsidR="008002FD" w:rsidRPr="006B7128" w14:paraId="2D8A0641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7C5C10A8" w14:textId="46B96F30" w:rsidR="008002FD" w:rsidRDefault="00975039" w:rsidP="00781262">
            <w:pPr>
              <w:spacing w:after="0" w:line="240" w:lineRule="auto"/>
              <w:rPr>
                <w:rFonts w:cs="Tahoma"/>
              </w:rPr>
            </w:pPr>
            <w:r w:rsidRPr="00975039">
              <w:rPr>
                <w:rFonts w:cs="Tahoma"/>
              </w:rPr>
              <w:t>What considerations should be given for community engagement and/or indigenous participation?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72F7F54A" w14:textId="77777777" w:rsidR="008002FD" w:rsidRPr="006D7540" w:rsidRDefault="008002FD" w:rsidP="00DC09F6">
            <w:pPr>
              <w:pStyle w:val="TableNumeralsLeftAlignment"/>
            </w:pPr>
          </w:p>
        </w:tc>
      </w:tr>
    </w:tbl>
    <w:p w14:paraId="17653642" w14:textId="625AB2F1" w:rsidR="000001A0" w:rsidRPr="004200EA" w:rsidRDefault="00975039" w:rsidP="000001A0">
      <w:pPr>
        <w:pStyle w:val="Heading3"/>
      </w:pPr>
      <w:r>
        <w:t>Forward Capacity Auction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0001A0" w:rsidRPr="006B7128" w14:paraId="4D963EFB" w14:textId="77777777" w:rsidTr="00017928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20DF4E1B" w14:textId="77777777" w:rsidR="000001A0" w:rsidRPr="003A3754" w:rsidRDefault="000001A0" w:rsidP="00017928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1C42A44" w14:textId="77777777" w:rsidR="000001A0" w:rsidRPr="006B7128" w:rsidRDefault="000001A0" w:rsidP="00017928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0001A0" w:rsidRPr="006B7128" w14:paraId="0B859D9E" w14:textId="77777777" w:rsidTr="00975039">
        <w:trPr>
          <w:cantSplit/>
          <w:trHeight w:val="130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17FAF994" w14:textId="7D33BB48" w:rsidR="000001A0" w:rsidRPr="00541C90" w:rsidRDefault="00975039" w:rsidP="00975039">
            <w:pPr>
              <w:pStyle w:val="BodyText"/>
            </w:pPr>
            <w:r w:rsidRPr="00975039">
              <w:t>Expanded participation and eligibility for resources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24566CE" w14:textId="77777777" w:rsidR="000001A0" w:rsidRPr="006D7540" w:rsidRDefault="000001A0" w:rsidP="00017928">
            <w:pPr>
              <w:pStyle w:val="TableNumeralsLeftAlignment"/>
            </w:pPr>
          </w:p>
        </w:tc>
      </w:tr>
      <w:tr w:rsidR="00781262" w:rsidRPr="006B7128" w14:paraId="0ABD438C" w14:textId="77777777" w:rsidTr="00975039">
        <w:trPr>
          <w:cantSplit/>
          <w:trHeight w:val="18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125DE480" w14:textId="28C5E1B6" w:rsidR="00781262" w:rsidRDefault="00975039" w:rsidP="00975039">
            <w:pPr>
              <w:pStyle w:val="BodyText"/>
            </w:pPr>
            <w:r w:rsidRPr="00975039">
              <w:t>Demand curve parameters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713B96C" w14:textId="77777777" w:rsidR="00781262" w:rsidRPr="006D7540" w:rsidRDefault="00781262" w:rsidP="00017928">
            <w:pPr>
              <w:pStyle w:val="TableNumeralsLeftAlignment"/>
            </w:pPr>
          </w:p>
        </w:tc>
      </w:tr>
      <w:tr w:rsidR="00781262" w:rsidRPr="006B7128" w14:paraId="6401036E" w14:textId="77777777" w:rsidTr="00975039">
        <w:trPr>
          <w:cantSplit/>
          <w:trHeight w:val="157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70736762" w14:textId="6F5E4FDF" w:rsidR="00781262" w:rsidRDefault="00975039" w:rsidP="00975039">
            <w:pPr>
              <w:pStyle w:val="BodyText"/>
            </w:pPr>
            <w:r w:rsidRPr="00975039">
              <w:t>Interactions with the annual capacity auction including target capacities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65207C6" w14:textId="77777777" w:rsidR="00781262" w:rsidRPr="006D7540" w:rsidRDefault="00781262" w:rsidP="00017928">
            <w:pPr>
              <w:pStyle w:val="TableNumeralsLeftAlignment"/>
            </w:pPr>
          </w:p>
        </w:tc>
      </w:tr>
      <w:tr w:rsidR="00975039" w:rsidRPr="006B7128" w14:paraId="3CC48F4D" w14:textId="77777777" w:rsidTr="00975039">
        <w:trPr>
          <w:cantSplit/>
          <w:trHeight w:val="40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198D1B2E" w14:textId="1B7B5696" w:rsidR="00975039" w:rsidRPr="00975039" w:rsidRDefault="00975039" w:rsidP="00975039">
            <w:pPr>
              <w:pStyle w:val="BodyText"/>
            </w:pPr>
            <w:r w:rsidRPr="00975039">
              <w:t>Input into the desi</w:t>
            </w:r>
            <w:r>
              <w:t>gn of longer commitment periods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55586FC4" w14:textId="77777777" w:rsidR="00975039" w:rsidRPr="006D7540" w:rsidRDefault="00975039" w:rsidP="00017928">
            <w:pPr>
              <w:pStyle w:val="TableNumeralsLeftAlignment"/>
            </w:pPr>
          </w:p>
        </w:tc>
      </w:tr>
      <w:tr w:rsidR="00975039" w:rsidRPr="006B7128" w14:paraId="0B186596" w14:textId="77777777" w:rsidTr="00017928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5BBA5E14" w14:textId="53850348" w:rsidR="00975039" w:rsidRPr="00975039" w:rsidRDefault="00975039" w:rsidP="00975039">
            <w:pPr>
              <w:pStyle w:val="BodyText"/>
            </w:pPr>
            <w:r>
              <w:rPr>
                <w:lang w:val="en-CA"/>
              </w:rPr>
              <w:t>O</w:t>
            </w:r>
            <w:r w:rsidRPr="00975039">
              <w:rPr>
                <w:lang w:val="en-CA"/>
              </w:rPr>
              <w:t>ther business/engagement/participation considerations associated with longer forward periods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7B80EB1" w14:textId="77777777" w:rsidR="00975039" w:rsidRPr="006D7540" w:rsidRDefault="00975039" w:rsidP="00017928">
            <w:pPr>
              <w:pStyle w:val="TableNumeralsLeftAlignment"/>
            </w:pPr>
          </w:p>
        </w:tc>
      </w:tr>
    </w:tbl>
    <w:p w14:paraId="650B7B8B" w14:textId="3784BB9F" w:rsidR="000001A0" w:rsidRPr="004200EA" w:rsidRDefault="00975039" w:rsidP="000001A0">
      <w:pPr>
        <w:pStyle w:val="Heading3"/>
      </w:pPr>
      <w:r w:rsidRPr="00975039">
        <w:t>Expedited Procurement</w:t>
      </w:r>
      <w:r w:rsidR="008002FD">
        <w:t xml:space="preserve"> 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0001A0" w:rsidRPr="006B7128" w14:paraId="45C448CE" w14:textId="77777777" w:rsidTr="00017928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048F8161" w14:textId="2E5B8715" w:rsidR="000001A0" w:rsidRPr="003A3754" w:rsidRDefault="000001A0" w:rsidP="00017928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10631FB6" w14:textId="77777777" w:rsidR="000001A0" w:rsidRPr="006B7128" w:rsidRDefault="000001A0" w:rsidP="00017928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781262" w:rsidRPr="006B7128" w14:paraId="1093AE4F" w14:textId="77777777" w:rsidTr="00017928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2E621F90" w14:textId="2650241E" w:rsidR="00781262" w:rsidRPr="00056F0E" w:rsidRDefault="00975039" w:rsidP="00975039">
            <w:pPr>
              <w:spacing w:after="0" w:line="240" w:lineRule="auto"/>
              <w:rPr>
                <w:rFonts w:cs="Tahoma"/>
              </w:rPr>
            </w:pPr>
            <w:r w:rsidRPr="00975039">
              <w:rPr>
                <w:rFonts w:cs="Tahoma"/>
              </w:rPr>
              <w:t>What incentives are sufficient to encourage expedited project development to meet the 2025 needs (e.g., term length, pricing adders, reduced RFP requirements)?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561B61A" w14:textId="77777777" w:rsidR="00781262" w:rsidRPr="006D7540" w:rsidRDefault="00781262" w:rsidP="00017928">
            <w:pPr>
              <w:pStyle w:val="TableNumeralsLeftAlignment"/>
            </w:pPr>
          </w:p>
        </w:tc>
      </w:tr>
      <w:tr w:rsidR="008002FD" w:rsidRPr="006B7128" w14:paraId="17025055" w14:textId="77777777" w:rsidTr="00017928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31D0408C" w14:textId="639FEB00" w:rsidR="008002FD" w:rsidRDefault="00975039" w:rsidP="00975039">
            <w:pPr>
              <w:spacing w:after="0" w:line="240" w:lineRule="auto"/>
              <w:rPr>
                <w:rFonts w:cs="Tahoma"/>
              </w:rPr>
            </w:pPr>
            <w:r w:rsidRPr="00975039">
              <w:rPr>
                <w:rFonts w:cs="Tahoma"/>
              </w:rPr>
              <w:t>What procurement timelines (i.e., contract execution) and forward period would be required to support a 2025 in-service date?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D491048" w14:textId="77777777" w:rsidR="008002FD" w:rsidRPr="006D7540" w:rsidRDefault="008002FD" w:rsidP="00017928">
            <w:pPr>
              <w:pStyle w:val="TableNumeralsLeftAlignment"/>
            </w:pPr>
          </w:p>
        </w:tc>
      </w:tr>
      <w:tr w:rsidR="008002FD" w:rsidRPr="006B7128" w14:paraId="21209711" w14:textId="77777777" w:rsidTr="00017928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4ED08CDE" w14:textId="0B45F6B2" w:rsidR="008002FD" w:rsidRDefault="00975039" w:rsidP="00975039">
            <w:pPr>
              <w:spacing w:after="0" w:line="240" w:lineRule="auto"/>
              <w:rPr>
                <w:rFonts w:cs="Tahoma"/>
              </w:rPr>
            </w:pPr>
            <w:r w:rsidRPr="00975039">
              <w:rPr>
                <w:rFonts w:cs="Tahoma"/>
              </w:rPr>
              <w:lastRenderedPageBreak/>
              <w:t>Is there any other external support (e.g., from the IESO) that would be needed to help proponents meet expedited development timelines?</w:t>
            </w:r>
            <w:r w:rsidRPr="00975039">
              <w:t xml:space="preserve"> 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1B8FF22" w14:textId="285F8635" w:rsidR="008002FD" w:rsidRPr="006D7540" w:rsidRDefault="008002FD" w:rsidP="00017928">
            <w:pPr>
              <w:pStyle w:val="TableNumeralsLeftAlignment"/>
            </w:pPr>
          </w:p>
        </w:tc>
      </w:tr>
      <w:tr w:rsidR="00975039" w:rsidRPr="006B7128" w14:paraId="16DDC10C" w14:textId="77777777" w:rsidTr="00017928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6FED0B8C" w14:textId="75C1DAB5" w:rsidR="00975039" w:rsidRDefault="00975039" w:rsidP="00781262">
            <w:pPr>
              <w:spacing w:after="0" w:line="240" w:lineRule="auto"/>
              <w:rPr>
                <w:rFonts w:cs="Tahoma"/>
              </w:rPr>
            </w:pPr>
            <w:r w:rsidRPr="00975039">
              <w:rPr>
                <w:rFonts w:cs="Tahoma"/>
              </w:rPr>
              <w:t>What considerations should be given for community engagement and/or Indigenous participation?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73E0EC7F" w14:textId="77777777" w:rsidR="00975039" w:rsidRPr="006D7540" w:rsidRDefault="00975039" w:rsidP="00017928">
            <w:pPr>
              <w:pStyle w:val="TableNumeralsLeftAlignment"/>
            </w:pPr>
          </w:p>
        </w:tc>
      </w:tr>
    </w:tbl>
    <w:p w14:paraId="5ED98E5E" w14:textId="22C651CC" w:rsidR="00D2041D" w:rsidRDefault="00D2041D" w:rsidP="00D2041D">
      <w:pPr>
        <w:pStyle w:val="Heading3"/>
      </w:pPr>
      <w:r>
        <w:t>General Comments/Feedback</w:t>
      </w:r>
    </w:p>
    <w:bookmarkEnd w:id="0"/>
    <w:p w14:paraId="799B35D9" w14:textId="06BBA1BC" w:rsidR="00975039" w:rsidRPr="00975039" w:rsidRDefault="00975039" w:rsidP="00975039">
      <w:pPr>
        <w:pStyle w:val="BodyText"/>
      </w:pPr>
      <w:r>
        <w:t xml:space="preserve">This section can include insight on </w:t>
      </w:r>
      <w:r w:rsidRPr="00975039">
        <w:t>the proposed additional mechanisms includ</w:t>
      </w:r>
      <w:r>
        <w:t>ing</w:t>
      </w:r>
      <w:r w:rsidRPr="00975039">
        <w:t>:</w:t>
      </w:r>
    </w:p>
    <w:p w14:paraId="526DCB21" w14:textId="77777777" w:rsidR="00975039" w:rsidRPr="00975039" w:rsidRDefault="00975039" w:rsidP="00975039">
      <w:pPr>
        <w:pStyle w:val="BodyText"/>
        <w:numPr>
          <w:ilvl w:val="0"/>
          <w:numId w:val="24"/>
        </w:numPr>
      </w:pPr>
      <w:r w:rsidRPr="00975039">
        <w:t>Whether these are the right mechanisms to support in-service dates of 2025/26?</w:t>
      </w:r>
    </w:p>
    <w:p w14:paraId="5B378FF4" w14:textId="089A86F5" w:rsidR="00D56CDF" w:rsidRPr="00975039" w:rsidRDefault="00975039" w:rsidP="00975039">
      <w:pPr>
        <w:pStyle w:val="BodyText"/>
        <w:numPr>
          <w:ilvl w:val="0"/>
          <w:numId w:val="24"/>
        </w:numPr>
      </w:pPr>
      <w:r w:rsidRPr="00975039">
        <w:rPr>
          <w:lang w:val="en-CA"/>
        </w:rPr>
        <w:t>Are the proposed timelines for the expedited process achievable?</w:t>
      </w:r>
    </w:p>
    <w:p w14:paraId="518B1D2B" w14:textId="2B38120A" w:rsidR="00975039" w:rsidRDefault="00A37992" w:rsidP="00975039">
      <w:pPr>
        <w:pStyle w:val="BodyText"/>
        <w:ind w:left="720"/>
      </w:pPr>
      <w:r w:rsidRPr="00975039">
        <w:rPr>
          <w:noProof/>
          <w:lang w:val="en-CA"/>
        </w:rPr>
        <w:drawing>
          <wp:anchor distT="0" distB="0" distL="114300" distR="114300" simplePos="0" relativeHeight="251659264" behindDoc="0" locked="0" layoutInCell="1" allowOverlap="1" wp14:anchorId="02A326BB" wp14:editId="7DC56B71">
            <wp:simplePos x="0" y="0"/>
            <wp:positionH relativeFrom="margin">
              <wp:posOffset>-635</wp:posOffset>
            </wp:positionH>
            <wp:positionV relativeFrom="page">
              <wp:posOffset>3394710</wp:posOffset>
            </wp:positionV>
            <wp:extent cx="5891530" cy="2806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7"/>
                    <a:stretch/>
                  </pic:blipFill>
                  <pic:spPr bwMode="auto">
                    <a:xfrm>
                      <a:off x="0" y="0"/>
                      <a:ext cx="5891530" cy="280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02973D" w14:textId="2A4C7E9C" w:rsidR="00975039" w:rsidRPr="003B554C" w:rsidRDefault="00975039">
      <w:pPr>
        <w:pStyle w:val="BodyText"/>
      </w:pPr>
      <w:r>
        <w:rPr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26421E" wp14:editId="30DC1255">
                <wp:simplePos x="0" y="0"/>
                <wp:positionH relativeFrom="margin">
                  <wp:align>left</wp:align>
                </wp:positionH>
                <wp:positionV relativeFrom="paragraph">
                  <wp:posOffset>2809682</wp:posOffset>
                </wp:positionV>
                <wp:extent cx="5923280" cy="2059305"/>
                <wp:effectExtent l="0" t="0" r="2032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280" cy="205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37EB8" w14:textId="1BCF41F9" w:rsidR="00975039" w:rsidRPr="00A37992" w:rsidRDefault="00975039">
                            <w:pPr>
                              <w:rPr>
                                <w:color w:val="000000" w:themeColor="text1"/>
                                <w:sz w:val="1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A37992">
                              <w:rPr>
                                <w:color w:val="000000" w:themeColor="text1"/>
                                <w:sz w:val="1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General Feedback (expand this text box as required):</w:t>
                            </w:r>
                          </w:p>
                          <w:p w14:paraId="7922A1D4" w14:textId="77777777" w:rsidR="00975039" w:rsidRPr="00975039" w:rsidRDefault="00975039">
                            <w:pPr>
                              <w:rPr>
                                <w:color w:val="000000" w:themeColor="text1"/>
                                <w:sz w:val="1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6DD0F24C" w14:textId="129703FF" w:rsidR="00975039" w:rsidRDefault="00975039"/>
                          <w:p w14:paraId="468104A2" w14:textId="201EA255" w:rsidR="00975039" w:rsidRDefault="00975039"/>
                          <w:p w14:paraId="52465DD6" w14:textId="3612F6BE" w:rsidR="00975039" w:rsidRDefault="00975039"/>
                          <w:p w14:paraId="1090A793" w14:textId="438FDDA3" w:rsidR="00975039" w:rsidRDefault="00975039"/>
                          <w:p w14:paraId="5F747FF7" w14:textId="0CB536D1" w:rsidR="00975039" w:rsidRDefault="009750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642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21.25pt;width:466.4pt;height:162.1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">
                <v:textbox>
                  <w:txbxContent>
                    <w:p w14:paraId="12E37EB8" w14:textId="1BCF41F9" w:rsidR="00975039" w:rsidRPr="00A37992" w:rsidRDefault="00975039">
                      <w:pPr>
                        <w:rPr>
                          <w:color w:val="000000" w:themeColor="text1"/>
                          <w:sz w:val="1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A37992">
                        <w:rPr>
                          <w:color w:val="000000" w:themeColor="text1"/>
                          <w:sz w:val="1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General Feedback (expand this text box as required):</w:t>
                      </w:r>
                    </w:p>
                    <w:p w14:paraId="7922A1D4" w14:textId="77777777" w:rsidR="00975039" w:rsidRPr="00975039" w:rsidRDefault="00975039">
                      <w:pPr>
                        <w:rPr>
                          <w:color w:val="000000" w:themeColor="text1"/>
                          <w:sz w:val="16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6DD0F24C" w14:textId="129703FF" w:rsidR="00975039" w:rsidRDefault="00975039"/>
                    <w:p w14:paraId="468104A2" w14:textId="201EA255" w:rsidR="00975039" w:rsidRDefault="00975039"/>
                    <w:p w14:paraId="52465DD6" w14:textId="3612F6BE" w:rsidR="00975039" w:rsidRDefault="00975039"/>
                    <w:p w14:paraId="1090A793" w14:textId="438FDDA3" w:rsidR="00975039" w:rsidRDefault="00975039"/>
                    <w:p w14:paraId="5F747FF7" w14:textId="0CB536D1" w:rsidR="00975039" w:rsidRDefault="0097503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75039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BB9E8" w14:textId="77777777" w:rsidR="00571990" w:rsidRDefault="00571990" w:rsidP="00F83314">
      <w:r>
        <w:separator/>
      </w:r>
    </w:p>
    <w:p w14:paraId="0387B60D" w14:textId="77777777" w:rsidR="00571990" w:rsidRDefault="00571990"/>
  </w:endnote>
  <w:endnote w:type="continuationSeparator" w:id="0">
    <w:p w14:paraId="5EBFB5A3" w14:textId="77777777" w:rsidR="00571990" w:rsidRDefault="00571990" w:rsidP="00F83314">
      <w:r>
        <w:continuationSeparator/>
      </w:r>
    </w:p>
    <w:p w14:paraId="7BA80487" w14:textId="77777777" w:rsidR="00571990" w:rsidRDefault="005719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6B13A0" w14:textId="73EF16A9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F080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5DCA18F" w14:textId="70701413" w:rsidR="00C6016F" w:rsidRDefault="00975039" w:rsidP="00871E07">
    <w:pPr>
      <w:pStyle w:val="Footer"/>
      <w:ind w:right="360"/>
    </w:pPr>
    <w:r>
      <w:t>AAR Info Session</w:t>
    </w:r>
    <w:r w:rsidR="00FC7434">
      <w:t xml:space="preserve">, </w:t>
    </w:r>
    <w:r>
      <w:t>8</w:t>
    </w:r>
    <w:r w:rsidR="00FC7434">
      <w:t>/</w:t>
    </w:r>
    <w:r>
      <w:t>April</w:t>
    </w:r>
    <w:r w:rsidR="00FC7434">
      <w:t>/</w:t>
    </w:r>
    <w:r w:rsidR="007D5DC6"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7AF3" w14:textId="3380CFC9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02C62699" wp14:editId="06C35D61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4F0801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A1CCB" w14:textId="77777777" w:rsidR="00571990" w:rsidRDefault="00571990">
      <w:r>
        <w:separator/>
      </w:r>
    </w:p>
  </w:footnote>
  <w:footnote w:type="continuationSeparator" w:id="0">
    <w:p w14:paraId="1C432B96" w14:textId="77777777" w:rsidR="00571990" w:rsidRDefault="00571990" w:rsidP="00F83314">
      <w:r>
        <w:continuationSeparator/>
      </w:r>
    </w:p>
    <w:p w14:paraId="57EBE82A" w14:textId="77777777" w:rsidR="00571990" w:rsidRDefault="005719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09925D44"/>
    <w:multiLevelType w:val="hybridMultilevel"/>
    <w:tmpl w:val="1B54A6A4"/>
    <w:lvl w:ilvl="0" w:tplc="AC8C1C5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63CDB"/>
    <w:multiLevelType w:val="hybridMultilevel"/>
    <w:tmpl w:val="9D483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39826D1"/>
    <w:multiLevelType w:val="hybridMultilevel"/>
    <w:tmpl w:val="AD2E5338"/>
    <w:lvl w:ilvl="0" w:tplc="1A1CE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12D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A1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64C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02D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2C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4CF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0A5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801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4908FC"/>
    <w:multiLevelType w:val="hybridMultilevel"/>
    <w:tmpl w:val="D902D936"/>
    <w:lvl w:ilvl="0" w:tplc="973A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86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B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2E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C6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C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C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04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F1618D6"/>
    <w:multiLevelType w:val="hybridMultilevel"/>
    <w:tmpl w:val="09D6A1AA"/>
    <w:lvl w:ilvl="0" w:tplc="6AEA2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E23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21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6E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28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A3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C1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CD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826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DE22A4"/>
    <w:multiLevelType w:val="hybridMultilevel"/>
    <w:tmpl w:val="528C1ABA"/>
    <w:lvl w:ilvl="0" w:tplc="91ACF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0EB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92B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46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C9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804B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DA6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68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CC5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BF0951"/>
    <w:multiLevelType w:val="hybridMultilevel"/>
    <w:tmpl w:val="347E3466"/>
    <w:lvl w:ilvl="0" w:tplc="9DCE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28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85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68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84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46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E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8C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BB3C1E"/>
    <w:multiLevelType w:val="hybridMultilevel"/>
    <w:tmpl w:val="232A8510"/>
    <w:lvl w:ilvl="0" w:tplc="1E5E7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CE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8A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4A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C9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63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C8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EE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992B87"/>
    <w:multiLevelType w:val="hybridMultilevel"/>
    <w:tmpl w:val="43384C5E"/>
    <w:lvl w:ilvl="0" w:tplc="3E8AC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A5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A6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C3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C8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E9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87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C3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DC5490"/>
    <w:multiLevelType w:val="hybridMultilevel"/>
    <w:tmpl w:val="E4AE6AE4"/>
    <w:lvl w:ilvl="0" w:tplc="2F5AE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4A1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A3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62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8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C5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45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F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CA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B8F50FE"/>
    <w:multiLevelType w:val="hybridMultilevel"/>
    <w:tmpl w:val="D47AEA66"/>
    <w:lvl w:ilvl="0" w:tplc="E66C3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00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3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E0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E8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2B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8F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46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0D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CB42B27"/>
    <w:multiLevelType w:val="hybridMultilevel"/>
    <w:tmpl w:val="4302086A"/>
    <w:lvl w:ilvl="0" w:tplc="09D47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039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8A1A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241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60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5647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44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8B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8E8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D862F7"/>
    <w:multiLevelType w:val="hybridMultilevel"/>
    <w:tmpl w:val="C83085A2"/>
    <w:lvl w:ilvl="0" w:tplc="1A4C4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4A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E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0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06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0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0C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0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9"/>
  </w:num>
  <w:num w:numId="11">
    <w:abstractNumId w:val="20"/>
  </w:num>
  <w:num w:numId="12">
    <w:abstractNumId w:val="12"/>
  </w:num>
  <w:num w:numId="13">
    <w:abstractNumId w:val="23"/>
  </w:num>
  <w:num w:numId="14">
    <w:abstractNumId w:val="18"/>
  </w:num>
  <w:num w:numId="15">
    <w:abstractNumId w:val="15"/>
  </w:num>
  <w:num w:numId="16">
    <w:abstractNumId w:val="21"/>
  </w:num>
  <w:num w:numId="17">
    <w:abstractNumId w:val="13"/>
  </w:num>
  <w:num w:numId="18">
    <w:abstractNumId w:val="17"/>
  </w:num>
  <w:num w:numId="19">
    <w:abstractNumId w:val="16"/>
  </w:num>
  <w:num w:numId="20">
    <w:abstractNumId w:val="22"/>
  </w:num>
  <w:num w:numId="21">
    <w:abstractNumId w:val="11"/>
  </w:num>
  <w:num w:numId="22">
    <w:abstractNumId w:val="14"/>
  </w:num>
  <w:num w:numId="23">
    <w:abstractNumId w:val="8"/>
  </w:num>
  <w:num w:numId="2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01A0"/>
    <w:rsid w:val="00006C5A"/>
    <w:rsid w:val="00010794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56F0E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C6558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C2B92"/>
    <w:rsid w:val="001E501C"/>
    <w:rsid w:val="001F1B86"/>
    <w:rsid w:val="001F21B1"/>
    <w:rsid w:val="002040D1"/>
    <w:rsid w:val="00206BC2"/>
    <w:rsid w:val="002206A7"/>
    <w:rsid w:val="002273F3"/>
    <w:rsid w:val="00230E09"/>
    <w:rsid w:val="00232C6D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835B9"/>
    <w:rsid w:val="0029171F"/>
    <w:rsid w:val="0029717E"/>
    <w:rsid w:val="002A4F50"/>
    <w:rsid w:val="002B2B29"/>
    <w:rsid w:val="002C11A0"/>
    <w:rsid w:val="002C1201"/>
    <w:rsid w:val="002D3238"/>
    <w:rsid w:val="002D4EB9"/>
    <w:rsid w:val="002E4651"/>
    <w:rsid w:val="002F3357"/>
    <w:rsid w:val="002F4C3F"/>
    <w:rsid w:val="00306409"/>
    <w:rsid w:val="00306932"/>
    <w:rsid w:val="00313BFA"/>
    <w:rsid w:val="0032141A"/>
    <w:rsid w:val="00323363"/>
    <w:rsid w:val="00323DDD"/>
    <w:rsid w:val="00325545"/>
    <w:rsid w:val="00326549"/>
    <w:rsid w:val="003337F1"/>
    <w:rsid w:val="00334129"/>
    <w:rsid w:val="00337C4D"/>
    <w:rsid w:val="0034014B"/>
    <w:rsid w:val="003428C3"/>
    <w:rsid w:val="00343580"/>
    <w:rsid w:val="003543AA"/>
    <w:rsid w:val="0035658F"/>
    <w:rsid w:val="003565EA"/>
    <w:rsid w:val="00371357"/>
    <w:rsid w:val="00374220"/>
    <w:rsid w:val="0037600B"/>
    <w:rsid w:val="003772C4"/>
    <w:rsid w:val="00383086"/>
    <w:rsid w:val="00390B42"/>
    <w:rsid w:val="00391AA6"/>
    <w:rsid w:val="003A6A37"/>
    <w:rsid w:val="003B3F9A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3A58"/>
    <w:rsid w:val="0040480E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E1708"/>
    <w:rsid w:val="004F0801"/>
    <w:rsid w:val="004F115E"/>
    <w:rsid w:val="00502752"/>
    <w:rsid w:val="005066CE"/>
    <w:rsid w:val="005250E4"/>
    <w:rsid w:val="00530C7D"/>
    <w:rsid w:val="00536D37"/>
    <w:rsid w:val="00540C81"/>
    <w:rsid w:val="00541C90"/>
    <w:rsid w:val="005426F9"/>
    <w:rsid w:val="00546F8B"/>
    <w:rsid w:val="00570A60"/>
    <w:rsid w:val="00571735"/>
    <w:rsid w:val="00571990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2458"/>
    <w:rsid w:val="005D6B0E"/>
    <w:rsid w:val="005E0602"/>
    <w:rsid w:val="005F4CFF"/>
    <w:rsid w:val="005F63C9"/>
    <w:rsid w:val="005F73E2"/>
    <w:rsid w:val="00603F19"/>
    <w:rsid w:val="00607A0B"/>
    <w:rsid w:val="00615CDC"/>
    <w:rsid w:val="00617A9E"/>
    <w:rsid w:val="006246D3"/>
    <w:rsid w:val="00624AEC"/>
    <w:rsid w:val="00625442"/>
    <w:rsid w:val="006259BB"/>
    <w:rsid w:val="0063312A"/>
    <w:rsid w:val="00635B4C"/>
    <w:rsid w:val="006635D9"/>
    <w:rsid w:val="0066614A"/>
    <w:rsid w:val="00674451"/>
    <w:rsid w:val="0067615F"/>
    <w:rsid w:val="00676421"/>
    <w:rsid w:val="00683AC9"/>
    <w:rsid w:val="006A5E35"/>
    <w:rsid w:val="006B0978"/>
    <w:rsid w:val="006B7BD7"/>
    <w:rsid w:val="006C43C7"/>
    <w:rsid w:val="006D1C41"/>
    <w:rsid w:val="006E0323"/>
    <w:rsid w:val="006E276D"/>
    <w:rsid w:val="006E4F59"/>
    <w:rsid w:val="006E7790"/>
    <w:rsid w:val="006E7BD2"/>
    <w:rsid w:val="006F582B"/>
    <w:rsid w:val="006F6935"/>
    <w:rsid w:val="00704EFB"/>
    <w:rsid w:val="0071682C"/>
    <w:rsid w:val="00720AB1"/>
    <w:rsid w:val="00731340"/>
    <w:rsid w:val="007360E5"/>
    <w:rsid w:val="0074423B"/>
    <w:rsid w:val="00744F86"/>
    <w:rsid w:val="00750BE5"/>
    <w:rsid w:val="0076220E"/>
    <w:rsid w:val="00763E64"/>
    <w:rsid w:val="00770B9D"/>
    <w:rsid w:val="007759BF"/>
    <w:rsid w:val="00781262"/>
    <w:rsid w:val="00781339"/>
    <w:rsid w:val="00787A1A"/>
    <w:rsid w:val="00792720"/>
    <w:rsid w:val="007A0FA5"/>
    <w:rsid w:val="007A1A30"/>
    <w:rsid w:val="007A6EC7"/>
    <w:rsid w:val="007B4815"/>
    <w:rsid w:val="007B538A"/>
    <w:rsid w:val="007D1D86"/>
    <w:rsid w:val="007D5DC6"/>
    <w:rsid w:val="007D7593"/>
    <w:rsid w:val="007E2315"/>
    <w:rsid w:val="007E673E"/>
    <w:rsid w:val="007F4FC9"/>
    <w:rsid w:val="008002FD"/>
    <w:rsid w:val="00803BF6"/>
    <w:rsid w:val="00821FD8"/>
    <w:rsid w:val="00823D2B"/>
    <w:rsid w:val="00831390"/>
    <w:rsid w:val="00836072"/>
    <w:rsid w:val="0084165E"/>
    <w:rsid w:val="00855324"/>
    <w:rsid w:val="00862CA0"/>
    <w:rsid w:val="00870829"/>
    <w:rsid w:val="00871A07"/>
    <w:rsid w:val="00871E07"/>
    <w:rsid w:val="00872FD8"/>
    <w:rsid w:val="00875A7E"/>
    <w:rsid w:val="00875E05"/>
    <w:rsid w:val="008823B2"/>
    <w:rsid w:val="008863ED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30B1"/>
    <w:rsid w:val="009362BC"/>
    <w:rsid w:val="00937211"/>
    <w:rsid w:val="00940A1F"/>
    <w:rsid w:val="00945BC3"/>
    <w:rsid w:val="00953E44"/>
    <w:rsid w:val="00956691"/>
    <w:rsid w:val="00962D88"/>
    <w:rsid w:val="00966F34"/>
    <w:rsid w:val="009705C0"/>
    <w:rsid w:val="009712B7"/>
    <w:rsid w:val="00974D20"/>
    <w:rsid w:val="00975039"/>
    <w:rsid w:val="0099030F"/>
    <w:rsid w:val="00991A11"/>
    <w:rsid w:val="00991B27"/>
    <w:rsid w:val="00991B46"/>
    <w:rsid w:val="009A4812"/>
    <w:rsid w:val="009A702B"/>
    <w:rsid w:val="009B0889"/>
    <w:rsid w:val="009B09EE"/>
    <w:rsid w:val="009B6BAE"/>
    <w:rsid w:val="009C2ACE"/>
    <w:rsid w:val="009E2295"/>
    <w:rsid w:val="009E31D3"/>
    <w:rsid w:val="009F02C8"/>
    <w:rsid w:val="009F2774"/>
    <w:rsid w:val="00A0005D"/>
    <w:rsid w:val="00A00B71"/>
    <w:rsid w:val="00A047A0"/>
    <w:rsid w:val="00A12326"/>
    <w:rsid w:val="00A256C1"/>
    <w:rsid w:val="00A315B3"/>
    <w:rsid w:val="00A32A0E"/>
    <w:rsid w:val="00A37992"/>
    <w:rsid w:val="00A4096B"/>
    <w:rsid w:val="00A57C08"/>
    <w:rsid w:val="00A60FEE"/>
    <w:rsid w:val="00A677AB"/>
    <w:rsid w:val="00A7072C"/>
    <w:rsid w:val="00A71078"/>
    <w:rsid w:val="00A71F50"/>
    <w:rsid w:val="00A74A06"/>
    <w:rsid w:val="00A76E31"/>
    <w:rsid w:val="00A77E73"/>
    <w:rsid w:val="00A804BB"/>
    <w:rsid w:val="00A86619"/>
    <w:rsid w:val="00A91F80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AF4E98"/>
    <w:rsid w:val="00B04816"/>
    <w:rsid w:val="00B141CC"/>
    <w:rsid w:val="00B146B8"/>
    <w:rsid w:val="00B15381"/>
    <w:rsid w:val="00B15B1B"/>
    <w:rsid w:val="00B164DB"/>
    <w:rsid w:val="00B27004"/>
    <w:rsid w:val="00B44D93"/>
    <w:rsid w:val="00B45BE4"/>
    <w:rsid w:val="00B547BA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BF6E43"/>
    <w:rsid w:val="00C01175"/>
    <w:rsid w:val="00C04795"/>
    <w:rsid w:val="00C30B76"/>
    <w:rsid w:val="00C31D32"/>
    <w:rsid w:val="00C36722"/>
    <w:rsid w:val="00C370C7"/>
    <w:rsid w:val="00C37949"/>
    <w:rsid w:val="00C41FBE"/>
    <w:rsid w:val="00C42E0F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960F7"/>
    <w:rsid w:val="00CA56A3"/>
    <w:rsid w:val="00CC5376"/>
    <w:rsid w:val="00CC6A68"/>
    <w:rsid w:val="00CD06BE"/>
    <w:rsid w:val="00CD26E7"/>
    <w:rsid w:val="00CE0767"/>
    <w:rsid w:val="00CE3824"/>
    <w:rsid w:val="00CE3D01"/>
    <w:rsid w:val="00CF0207"/>
    <w:rsid w:val="00CF5EE0"/>
    <w:rsid w:val="00D10DA4"/>
    <w:rsid w:val="00D14734"/>
    <w:rsid w:val="00D2041D"/>
    <w:rsid w:val="00D258A0"/>
    <w:rsid w:val="00D26C05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6740A"/>
    <w:rsid w:val="00D759BF"/>
    <w:rsid w:val="00D77A14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E026B"/>
    <w:rsid w:val="00DF2962"/>
    <w:rsid w:val="00E0178C"/>
    <w:rsid w:val="00E01DFA"/>
    <w:rsid w:val="00E07446"/>
    <w:rsid w:val="00E14A79"/>
    <w:rsid w:val="00E153D2"/>
    <w:rsid w:val="00E24C84"/>
    <w:rsid w:val="00E303C3"/>
    <w:rsid w:val="00E31C33"/>
    <w:rsid w:val="00E35F24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0766"/>
    <w:rsid w:val="00E81A05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22E89"/>
    <w:rsid w:val="00F315A0"/>
    <w:rsid w:val="00F40FD7"/>
    <w:rsid w:val="00F42555"/>
    <w:rsid w:val="00F43A30"/>
    <w:rsid w:val="00F4484E"/>
    <w:rsid w:val="00F44FFB"/>
    <w:rsid w:val="00F54067"/>
    <w:rsid w:val="00F71CFB"/>
    <w:rsid w:val="00F73209"/>
    <w:rsid w:val="00F80EB6"/>
    <w:rsid w:val="00F81023"/>
    <w:rsid w:val="00F83314"/>
    <w:rsid w:val="00F86E4D"/>
    <w:rsid w:val="00F87095"/>
    <w:rsid w:val="00F879DD"/>
    <w:rsid w:val="00F93C15"/>
    <w:rsid w:val="00FA18DA"/>
    <w:rsid w:val="00FB7E99"/>
    <w:rsid w:val="00FC3FA2"/>
    <w:rsid w:val="00FC7434"/>
    <w:rsid w:val="00FC7A2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A9FD5D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F22E89"/>
    <w:rPr>
      <w:rFonts w:eastAsiaTheme="minorEastAsia" w:cs="Tahoma"/>
      <w:color w:val="000000" w:themeColor="text1"/>
      <w:szCs w:val="22"/>
      <w:u w:color="8CD2F3" w:themeColor="background2"/>
      <w:lang w:val="en-US"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F22E89"/>
    <w:rPr>
      <w:rFonts w:ascii="Tahoma" w:eastAsiaTheme="minorEastAsia" w:hAnsi="Tahoma" w:cs="Tahoma"/>
      <w:color w:val="000000" w:themeColor="text1"/>
      <w:sz w:val="22"/>
      <w:szCs w:val="22"/>
      <w:u w:color="8CD2F3" w:themeColor="background2"/>
      <w:lang w:val="en-US"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szCs w:val="22"/>
      <w:u w:val="single" w:color="006B71" w:themeColor="accent4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szCs w:val="22"/>
      <w:u w:val="single" w:color="003366" w:themeColor="text2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eastAsiaTheme="minorEastAsia" w:hAnsi="Tahoma" w:cs="Times New Roman (Body CS)"/>
      <w:noProof/>
      <w:color w:val="000000" w:themeColor="text1"/>
      <w:sz w:val="22"/>
      <w:szCs w:val="22"/>
      <w:u w:color="8CD2F3" w:themeColor="background2"/>
      <w:vertAlign w:val="superscript"/>
      <w:lang w:val="en-US"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eastAsiaTheme="minorEastAsia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szCs w:val="22"/>
      <w:u w:val="none" w:color="8CD2F3" w:themeColor="background2"/>
      <w:lang w:val="en-US"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eastAsiaTheme="minorEastAsi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szCs w:val="22"/>
      <w:u w:val="none" w:color="8CD2F3" w:themeColor="background2"/>
      <w:vertAlign w:val="baseline"/>
      <w:lang w:val="en-US"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00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93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92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31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9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0873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521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282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03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9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90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003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52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24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06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88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14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06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7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49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191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Planning-and-Forecasting/Annual-Acquisition-Repo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0D6E56"/>
    <w:rsid w:val="0039374A"/>
    <w:rsid w:val="003E3F31"/>
    <w:rsid w:val="00525F43"/>
    <w:rsid w:val="005A5363"/>
    <w:rsid w:val="00661E85"/>
    <w:rsid w:val="006748E9"/>
    <w:rsid w:val="00814D37"/>
    <w:rsid w:val="00884744"/>
    <w:rsid w:val="009704E8"/>
    <w:rsid w:val="00A85B25"/>
    <w:rsid w:val="00B513C0"/>
    <w:rsid w:val="00CD5434"/>
    <w:rsid w:val="00D4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74EFA7-6B25-4F4B-B30D-466C3493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Acquisition Report Public Information Session – April 8, 2022 Feedback</vt:lpstr>
    </vt:vector>
  </TitlesOfParts>
  <Manager/>
  <Company>Independent Electricity System Operator</Company>
  <LinksUpToDate>false</LinksUpToDate>
  <CharactersWithSpaces>2763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Acquisition Report Public Information Session – April 8, 2022 Feedback</dc:title>
  <dc:subject/>
  <dc:creator>Independent Electricity System Operator (IESO)</dc:creator>
  <cp:keywords/>
  <dc:description/>
  <cp:lastModifiedBy>Daniela Drazic</cp:lastModifiedBy>
  <cp:revision>4</cp:revision>
  <cp:lastPrinted>2020-04-17T18:00:00Z</cp:lastPrinted>
  <dcterms:created xsi:type="dcterms:W3CDTF">2022-04-08T17:32:00Z</dcterms:created>
  <dcterms:modified xsi:type="dcterms:W3CDTF">2022-04-08T18:00:00Z</dcterms:modified>
  <cp:category/>
</cp:coreProperties>
</file>