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773C8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7956B3" w:rsidP="006F582B">
      <w:pPr>
        <w:pStyle w:val="Heading2"/>
      </w:pPr>
      <w:r>
        <w:t>Evolving IESO Planning Products (APO/AAR)</w:t>
      </w:r>
      <w:r w:rsidR="32649693">
        <w:t xml:space="preserve"> </w:t>
      </w:r>
      <w:r w:rsidR="007A1A30">
        <w:t xml:space="preserve">– </w:t>
      </w:r>
      <w:r>
        <w:t>October 20, 2023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773C86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773C86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773C86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773C86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773C86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880AC3" w:rsidRDefault="00880AC3" w:rsidP="00773C86">
      <w:pPr>
        <w:pStyle w:val="BodyText"/>
      </w:pPr>
    </w:p>
    <w:p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7956B3" w:rsidRPr="007956B3">
          <w:rPr>
            <w:rStyle w:val="Hyperlink"/>
            <w:noProof w:val="0"/>
            <w:lang w:val="en-US" w:eastAsia="en-US"/>
            <w14:ligatures w14:val="standard"/>
          </w:rPr>
          <w:t>Annual A</w:t>
        </w:r>
        <w:r w:rsidR="007956B3" w:rsidRPr="007956B3">
          <w:rPr>
            <w:rStyle w:val="Hyperlink"/>
            <w:noProof w:val="0"/>
            <w:lang w:val="en-US" w:eastAsia="en-US"/>
            <w14:ligatures w14:val="standard"/>
          </w:rPr>
          <w:t>c</w:t>
        </w:r>
        <w:r w:rsidR="007956B3" w:rsidRPr="007956B3">
          <w:rPr>
            <w:rStyle w:val="Hyperlink"/>
            <w:noProof w:val="0"/>
            <w:lang w:val="en-US" w:eastAsia="en-US"/>
            <w14:ligatures w14:val="standard"/>
          </w:rPr>
          <w:t>quisition Report engagement page</w:t>
        </w:r>
      </w:hyperlink>
      <w:r w:rsidRPr="00740728">
        <w:rPr>
          <w:lang w:val="en-US"/>
        </w:rPr>
        <w:t xml:space="preserve"> unless otherwise requested by the sender.</w:t>
      </w:r>
    </w:p>
    <w:p w:rsidR="00555588" w:rsidRPr="00555588" w:rsidRDefault="00555588" w:rsidP="00773C86">
      <w:pPr>
        <w:pStyle w:val="BodyText"/>
        <w:rPr>
          <w:lang w:val="en-US"/>
        </w:rPr>
      </w:pPr>
      <w:r w:rsidRPr="00555588">
        <w:rPr>
          <w:lang w:val="en-US"/>
        </w:rPr>
        <w:t xml:space="preserve">Following the </w:t>
      </w:r>
      <w:r w:rsidR="007956B3">
        <w:rPr>
          <w:lang w:val="en-US"/>
        </w:rPr>
        <w:t>October 20, 2023,</w:t>
      </w:r>
      <w:r>
        <w:rPr>
          <w:lang w:val="en-US"/>
        </w:rPr>
        <w:t xml:space="preserve"> engagement</w:t>
      </w:r>
      <w:r w:rsidRPr="00555588">
        <w:rPr>
          <w:lang w:val="en-US"/>
        </w:rPr>
        <w:t xml:space="preserve"> webinar, the Independent Electricity System Operator (IESO) is </w:t>
      </w:r>
      <w:r>
        <w:rPr>
          <w:lang w:val="en-US"/>
        </w:rPr>
        <w:t>seeking f</w:t>
      </w:r>
      <w:r w:rsidRPr="00555588">
        <w:rPr>
          <w:lang w:val="en-US"/>
        </w:rPr>
        <w:t xml:space="preserve">eedback from stakeholders </w:t>
      </w:r>
      <w:r w:rsidRPr="007956B3">
        <w:rPr>
          <w:lang w:val="en-US"/>
        </w:rPr>
        <w:t>on items discussed.</w:t>
      </w:r>
      <w:r w:rsidRPr="00555588">
        <w:rPr>
          <w:lang w:val="en-US"/>
        </w:rPr>
        <w:t xml:space="preserve"> The webinar presentation and recording can be accessed from the </w:t>
      </w:r>
      <w:hyperlink r:id="rId12" w:history="1">
        <w:r w:rsidRPr="007956B3">
          <w:rPr>
            <w:rStyle w:val="Hyperlink"/>
            <w:lang w:val="en-US"/>
          </w:rPr>
          <w:t>engagement w</w:t>
        </w:r>
        <w:r w:rsidRPr="007956B3">
          <w:rPr>
            <w:rStyle w:val="Hyperlink"/>
            <w:lang w:val="en-US"/>
          </w:rPr>
          <w:t>e</w:t>
        </w:r>
        <w:r w:rsidRPr="007956B3">
          <w:rPr>
            <w:rStyle w:val="Hyperlink"/>
            <w:lang w:val="en-US"/>
          </w:rPr>
          <w:t>b page</w:t>
        </w:r>
      </w:hyperlink>
      <w:r w:rsidRPr="00555588">
        <w:rPr>
          <w:lang w:val="en-US"/>
        </w:rPr>
        <w:t>.</w:t>
      </w:r>
    </w:p>
    <w:p w:rsidR="006F582B" w:rsidRDefault="00555588" w:rsidP="00773C86">
      <w:pPr>
        <w:pStyle w:val="BodyText"/>
        <w:rPr>
          <w:lang w:val="en-US"/>
        </w:rPr>
      </w:pPr>
      <w:r w:rsidRPr="00555588">
        <w:rPr>
          <w:b/>
          <w:lang w:val="en-US"/>
        </w:rPr>
        <w:t>Please submit feedback to</w:t>
      </w:r>
      <w:r w:rsidRPr="00555588">
        <w:rPr>
          <w:lang w:val="en-US"/>
        </w:rPr>
        <w:t xml:space="preserve"> </w:t>
      </w:r>
      <w:hyperlink r:id="rId13" w:history="1">
        <w:r w:rsidRPr="007C6A43">
          <w:rPr>
            <w:rStyle w:val="Hyperlink"/>
            <w:lang w:val="en-US"/>
          </w:rPr>
          <w:t>engagement</w:t>
        </w:r>
        <w:r w:rsidRPr="007C6A43">
          <w:rPr>
            <w:rStyle w:val="Hyperlink"/>
            <w:lang w:val="en-US"/>
          </w:rPr>
          <w:t>@</w:t>
        </w:r>
        <w:r w:rsidRPr="007C6A43">
          <w:rPr>
            <w:rStyle w:val="Hyperlink"/>
            <w:lang w:val="en-US"/>
          </w:rPr>
          <w:t>ieso.ca</w:t>
        </w:r>
      </w:hyperlink>
      <w:r w:rsidRPr="00555588">
        <w:rPr>
          <w:lang w:val="en-US"/>
        </w:rPr>
        <w:t xml:space="preserve"> by </w:t>
      </w:r>
      <w:r w:rsidR="00B76CC9">
        <w:rPr>
          <w:b/>
          <w:lang w:val="en-US"/>
        </w:rPr>
        <w:t xml:space="preserve">December </w:t>
      </w:r>
      <w:bookmarkStart w:id="0" w:name="_GoBack"/>
      <w:bookmarkEnd w:id="0"/>
      <w:r w:rsidR="00B76CC9">
        <w:rPr>
          <w:b/>
          <w:lang w:val="en-US"/>
        </w:rPr>
        <w:t>4</w:t>
      </w:r>
      <w:r w:rsidR="007956B3" w:rsidRPr="007956B3">
        <w:rPr>
          <w:b/>
          <w:lang w:val="en-US"/>
        </w:rPr>
        <w:t>, 2023</w:t>
      </w:r>
      <w:r w:rsidRPr="007956B3">
        <w:rPr>
          <w:b/>
          <w:lang w:val="en-US"/>
        </w:rPr>
        <w:t>.</w:t>
      </w:r>
      <w:r w:rsidRPr="00555588">
        <w:rPr>
          <w:lang w:val="en-US"/>
        </w:rPr>
        <w:t xml:space="preserve">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7956B3" w:rsidP="00EF1F49">
      <w:pPr>
        <w:pStyle w:val="Heading3"/>
      </w:pPr>
      <w:bookmarkStart w:id="1" w:name="_Toc35868671"/>
      <w:r>
        <w:lastRenderedPageBreak/>
        <w:t>Existing IESO Reports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4200EA" w:rsidRPr="007956B3" w:rsidRDefault="007956B3" w:rsidP="007956B3">
            <w:pPr>
              <w:pStyle w:val="TableHeaderRightAlignment"/>
              <w:framePr w:wrap="auto" w:vAnchor="margin" w:yAlign="inline"/>
              <w:rPr>
                <w:rFonts w:eastAsiaTheme="minorHAnsi" w:cs="Times New Roman (Body CS)"/>
                <w:color w:val="auto"/>
                <w:sz w:val="22"/>
                <w:szCs w:val="24"/>
                <w14:ligatures w14:val="none"/>
                <w14:numForm w14:val="default"/>
                <w14:numSpacing w14:val="default"/>
              </w:rPr>
            </w:pPr>
            <w:r>
              <w:t>Annual Planning Outlook and Annual Acquisition Report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7956B3">
        <w:trPr>
          <w:cantSplit/>
          <w:trHeight w:val="202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7956B3" w:rsidP="00773C86">
            <w:pPr>
              <w:pStyle w:val="BodyText"/>
            </w:pPr>
            <w:r>
              <w:t xml:space="preserve">What sections of the APO and AAR are most helpful and how do you use this information?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CB05BA">
            <w:pPr>
              <w:pStyle w:val="TableNumeralsLeftAlignment"/>
            </w:pPr>
          </w:p>
        </w:tc>
      </w:tr>
      <w:tr w:rsidR="003D0BE4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3D0BE4" w:rsidRPr="006B7128" w:rsidRDefault="007956B3" w:rsidP="00773C86">
            <w:pPr>
              <w:pStyle w:val="BodyText"/>
            </w:pPr>
            <w:r>
              <w:t xml:space="preserve">Where do you see redundancy or overlap in these existing products?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3D0BE4" w:rsidRPr="006D7540" w:rsidRDefault="003D0BE4" w:rsidP="00CB05BA">
            <w:pPr>
              <w:pStyle w:val="TableNumeralsLeftAlignment"/>
            </w:pPr>
          </w:p>
        </w:tc>
      </w:tr>
      <w:tr w:rsidR="007956B3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7956B3" w:rsidRDefault="007956B3" w:rsidP="00773C86">
            <w:pPr>
              <w:pStyle w:val="BodyText"/>
            </w:pPr>
            <w:r>
              <w:t>How can the IESO enhance and evolve the APO and the AAR?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7956B3" w:rsidRPr="006D7540" w:rsidRDefault="007956B3" w:rsidP="00CB05BA">
            <w:pPr>
              <w:pStyle w:val="TableNumeralsLeftAlignment"/>
            </w:pPr>
          </w:p>
        </w:tc>
      </w:tr>
    </w:tbl>
    <w:p w:rsidR="00915C81" w:rsidRDefault="007956B3" w:rsidP="00915C81">
      <w:pPr>
        <w:pStyle w:val="Heading3"/>
      </w:pPr>
      <w:r>
        <w:t>Future Reporting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7956B3" w:rsidP="00E17E7F">
            <w:pPr>
              <w:pStyle w:val="TableHeaderLeftAlignment"/>
            </w:pPr>
            <w:r>
              <w:t xml:space="preserve">Evolving Planning IESO Products 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7956B3" w:rsidP="00773C86">
            <w:pPr>
              <w:pStyle w:val="BodyText"/>
            </w:pPr>
            <w:r>
              <w:t xml:space="preserve">What frequency and/or time of year is information required to </w:t>
            </w:r>
            <w:r w:rsidR="00892ABC">
              <w:t xml:space="preserve">help you </w:t>
            </w:r>
            <w:r>
              <w:t>make informed and timely investment decisions with respect to existing or new assets?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915C81" w:rsidRPr="006D7540" w:rsidRDefault="00915C81" w:rsidP="00E17E7F">
            <w:pPr>
              <w:pStyle w:val="TableNumeralsLeftAlignment"/>
            </w:pPr>
          </w:p>
        </w:tc>
      </w:tr>
      <w:tr w:rsidR="00555D68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555D68" w:rsidRDefault="00555D68" w:rsidP="00773C86">
            <w:pPr>
              <w:pStyle w:val="BodyText"/>
            </w:pPr>
            <w:r>
              <w:t>What specific information is required to help you make decisions?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555D68" w:rsidRPr="006D7540" w:rsidRDefault="00555D68" w:rsidP="00081167">
            <w:pPr>
              <w:pStyle w:val="TableNumeralsLeftAlignment"/>
            </w:pP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773C86" w:rsidP="00773C86">
            <w:pPr>
              <w:pStyle w:val="BodyText"/>
            </w:pPr>
            <w:r w:rsidRPr="00773C86">
              <w:t xml:space="preserve">Do you prefer </w:t>
            </w:r>
            <w:r w:rsidR="00555D68" w:rsidRPr="00773C86">
              <w:t>comprehensive planning reports</w:t>
            </w:r>
            <w:r>
              <w:t xml:space="preserve"> </w:t>
            </w:r>
            <w:r w:rsidR="00555D68" w:rsidRPr="00773C86">
              <w:t xml:space="preserve">or </w:t>
            </w:r>
            <w:r w:rsidRPr="00773C86">
              <w:t xml:space="preserve">would </w:t>
            </w:r>
            <w:r w:rsidR="00555D68" w:rsidRPr="00773C86">
              <w:t xml:space="preserve">tailored and succinct products </w:t>
            </w:r>
            <w:r>
              <w:t xml:space="preserve">released throughout the year </w:t>
            </w:r>
            <w:r w:rsidR="00555D68" w:rsidRPr="00773C86">
              <w:t xml:space="preserve">better serve </w:t>
            </w:r>
            <w:r w:rsidR="00892ABC" w:rsidRPr="00773C86">
              <w:t>your</w:t>
            </w:r>
            <w:r w:rsidR="00555D68" w:rsidRPr="00773C86">
              <w:t xml:space="preserve"> needs?</w:t>
            </w:r>
            <w:r w:rsidRPr="00773C86">
              <w:t xml:space="preserve"> What is the value of each from your perspective? </w:t>
            </w:r>
            <w:r w:rsidR="004617AF" w:rsidRPr="00773C86"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050EB5" w:rsidRPr="006D7540" w:rsidRDefault="00050EB5" w:rsidP="00081167">
            <w:pPr>
              <w:pStyle w:val="TableNumeralsLeftAlignment"/>
            </w:pPr>
          </w:p>
        </w:tc>
      </w:tr>
    </w:tbl>
    <w:p w:rsidR="00050EB5" w:rsidRDefault="00050EB5" w:rsidP="00773C86">
      <w:pPr>
        <w:pStyle w:val="BodyText"/>
      </w:pPr>
    </w:p>
    <w:p w:rsidR="00D2041D" w:rsidRDefault="00D2041D" w:rsidP="00D2041D">
      <w:pPr>
        <w:pStyle w:val="Heading3"/>
      </w:pPr>
      <w:r>
        <w:t>General Comments/Feedback</w:t>
      </w:r>
    </w:p>
    <w:bookmarkEnd w:id="1"/>
    <w:p w:rsidR="007956B3" w:rsidRPr="007956B3" w:rsidRDefault="007956B3" w:rsidP="00773C86">
      <w:pPr>
        <w:pStyle w:val="BodyText"/>
      </w:pPr>
    </w:p>
    <w:sectPr w:rsidR="007956B3" w:rsidRPr="007956B3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F3" w:rsidRDefault="008E13F3" w:rsidP="00F83314">
      <w:r>
        <w:separator/>
      </w:r>
    </w:p>
    <w:p w:rsidR="008E13F3" w:rsidRDefault="008E13F3"/>
  </w:endnote>
  <w:endnote w:type="continuationSeparator" w:id="0">
    <w:p w:rsidR="008E13F3" w:rsidRDefault="008E13F3" w:rsidP="00F83314">
      <w:r>
        <w:continuationSeparator/>
      </w:r>
    </w:p>
    <w:p w:rsidR="008E13F3" w:rsidRDefault="008E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6A4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7956B3" w:rsidP="00871E07">
    <w:pPr>
      <w:pStyle w:val="Footer"/>
      <w:ind w:right="360"/>
    </w:pPr>
    <w:r>
      <w:t>APO/AAR Engagement 20</w:t>
    </w:r>
    <w:r w:rsidR="00FC7434">
      <w:t>/</w:t>
    </w:r>
    <w:r>
      <w:t>October</w:t>
    </w:r>
    <w:r w:rsidR="00FC7434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C6A4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F3" w:rsidRDefault="008E13F3">
      <w:r>
        <w:separator/>
      </w:r>
    </w:p>
  </w:footnote>
  <w:footnote w:type="continuationSeparator" w:id="0">
    <w:p w:rsidR="008E13F3" w:rsidRDefault="008E13F3" w:rsidP="00F83314">
      <w:r>
        <w:continuationSeparator/>
      </w:r>
    </w:p>
    <w:p w:rsidR="008E13F3" w:rsidRDefault="008E13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463D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17AF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55D6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3C86"/>
    <w:rsid w:val="007759BF"/>
    <w:rsid w:val="00781339"/>
    <w:rsid w:val="00787A1A"/>
    <w:rsid w:val="00792720"/>
    <w:rsid w:val="007956B3"/>
    <w:rsid w:val="007A0FA5"/>
    <w:rsid w:val="007A1A30"/>
    <w:rsid w:val="007A6EC7"/>
    <w:rsid w:val="007B4815"/>
    <w:rsid w:val="007B538A"/>
    <w:rsid w:val="007C6A43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2ABC"/>
    <w:rsid w:val="00895B5D"/>
    <w:rsid w:val="00897595"/>
    <w:rsid w:val="008B2095"/>
    <w:rsid w:val="008D6894"/>
    <w:rsid w:val="008E13F3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76CC9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4B5A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6C0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73C86"/>
    <w:rPr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773C86"/>
    <w:rPr>
      <w:rFonts w:ascii="Tahoma" w:hAnsi="Tahoma" w:cs="Times New Roman (Body CS)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en/Sector-Participants/Engagement-Initiatives/Engagements/Annual-Acquisition-Report-202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Annual-Acquisition-Report-20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6D4E91"/>
    <w:rsid w:val="00731377"/>
    <w:rsid w:val="00B513C0"/>
    <w:rsid w:val="00BC43FF"/>
    <w:rsid w:val="00CB5C67"/>
    <w:rsid w:val="00F0704F"/>
    <w:rsid w:val="00F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C93A2-0BAB-459A-94C3-9E9C13EBC62C}">
  <ds:schemaRefs>
    <ds:schemaRef ds:uri="bcd1375f-69c9-4341-9068-96d0655ae00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3cce62-d354-49ee-a291-01c731dc792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9F8EBB-F82C-4137-8DBF-4F3C2244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Evolving IESO Planning Products (APO/AAR) – October 20, 2023 Feedback Form</dc:title>
  <dc:subject/>
  <dc:creator>Independent Electricity System Operator (IESO)</dc:creator>
  <cp:keywords/>
  <dc:description/>
  <cp:lastModifiedBy>Daniela Drazic</cp:lastModifiedBy>
  <cp:revision>3</cp:revision>
  <cp:lastPrinted>2020-04-17T18:00:00Z</cp:lastPrinted>
  <dcterms:created xsi:type="dcterms:W3CDTF">2023-10-19T19:44:00Z</dcterms:created>
  <dcterms:modified xsi:type="dcterms:W3CDTF">2023-10-19T19:49:00Z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