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91B64D1" w:rsidR="00834980" w:rsidRDefault="00BE30DD" w:rsidP="00BD74AD">
      <w:pPr>
        <w:pStyle w:val="Heading2"/>
      </w:pPr>
      <w:r w:rsidRPr="00BE30DD">
        <w:t xml:space="preserve">Annual Planning Outlook Demand Forecast and Demand Scenarios </w:t>
      </w:r>
      <w:r w:rsidR="00D12111">
        <w:t xml:space="preserve">– </w:t>
      </w:r>
      <w:r w:rsidRPr="00BE30DD">
        <w:t>November 1</w:t>
      </w:r>
      <w:r w:rsidR="008424A6">
        <w:t>8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280CE9E2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hyperlink r:id="rId10" w:history="1">
                              <w:r w:rsidR="008424A6" w:rsidRPr="008424A6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Annual Planning Outlook</w:t>
                              </w:r>
                            </w:hyperlink>
                            <w:r w:rsidR="008424A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280CE9E2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hyperlink r:id="rId11" w:history="1">
                        <w:r w:rsidR="008424A6" w:rsidRPr="008424A6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</w:rPr>
                          <w:t>Annual Planning Outlook</w:t>
                        </w:r>
                      </w:hyperlink>
                      <w:r w:rsidR="008424A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95A9D" w14:textId="4989653E" w:rsidR="00834980" w:rsidRDefault="00D12111" w:rsidP="0CACAB1F">
      <w:pPr>
        <w:pStyle w:val="BodyText"/>
        <w:rPr>
          <w:rFonts w:eastAsia="Arial Unicode MS" w:cs="Arial Unicode MS"/>
          <w:color w:val="003366"/>
        </w:rPr>
      </w:pPr>
      <w:r>
        <w:t xml:space="preserve">Following the </w:t>
      </w:r>
      <w:r w:rsidR="00BE30DD" w:rsidRPr="00BE30DD">
        <w:t>Annual Planning Outlook Demand Forecast and Demand Scenarios on November 1</w:t>
      </w:r>
      <w:r w:rsidR="00F84E08">
        <w:t>8</w:t>
      </w:r>
      <w:r w:rsidR="00BE30DD" w:rsidRPr="00BE30DD">
        <w:t xml:space="preserve">, </w:t>
      </w:r>
      <w:proofErr w:type="gramStart"/>
      <w:r w:rsidR="00BE30DD" w:rsidRPr="00BE30DD">
        <w:t>2025</w:t>
      </w:r>
      <w:proofErr w:type="gramEnd"/>
      <w:r w:rsidR="00BE30DD" w:rsidRPr="00BE30DD"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2" w:history="1">
        <w:r w:rsidR="008424A6" w:rsidRPr="008424A6">
          <w:rPr>
            <w:rStyle w:val="Hyperlink"/>
          </w:rPr>
          <w:t>Annual Planning Outlook</w:t>
        </w:r>
      </w:hyperlink>
      <w:r w:rsidR="00A03A04">
        <w:t>.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27F93B95" w:rsidR="00834980" w:rsidRPr="008424A6" w:rsidRDefault="00D12111">
      <w:pPr>
        <w:pStyle w:val="BodyText"/>
        <w:rPr>
          <w:b/>
          <w:bCs/>
        </w:rPr>
      </w:pPr>
      <w:r>
        <w:rPr>
          <w:b/>
          <w:bCs/>
        </w:rPr>
        <w:t>Please submit feedback to</w:t>
      </w:r>
      <w:r>
        <w:t xml:space="preserve"> </w:t>
      </w:r>
      <w:hyperlink r:id="rId13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8424A6" w:rsidRPr="008424A6">
        <w:rPr>
          <w:b/>
          <w:bCs/>
        </w:rPr>
        <w:t>December 2</w:t>
      </w:r>
      <w:r>
        <w:rPr>
          <w:b/>
          <w:bCs/>
        </w:rPr>
        <w:t>.</w:t>
      </w:r>
      <w:r w:rsidRPr="008424A6">
        <w:rPr>
          <w:b/>
          <w:bCs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94F9DA5" w14:textId="6080AD78" w:rsidR="005635C8" w:rsidRPr="00252E3B" w:rsidRDefault="00BE30DD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Please provide your feedback regarding the IESO’s plans for the three scenarios in 2027 APO for the following assumptions: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77"/>
        <w:gridCol w:w="1977"/>
        <w:gridCol w:w="1977"/>
        <w:gridCol w:w="1977"/>
        <w:gridCol w:w="1977"/>
      </w:tblGrid>
      <w:tr w:rsidR="653AC308" w14:paraId="79F2D178" w14:textId="77777777" w:rsidTr="653AC308">
        <w:trPr>
          <w:trHeight w:val="300"/>
        </w:trPr>
        <w:tc>
          <w:tcPr>
            <w:tcW w:w="1977" w:type="dxa"/>
          </w:tcPr>
          <w:p w14:paraId="7C9E8A6B" w14:textId="5F4D9CFB" w:rsidR="371BF7BD" w:rsidRDefault="371BF7BD" w:rsidP="653AC308">
            <w:pPr>
              <w:pStyle w:val="BodyText"/>
            </w:pPr>
            <w:r w:rsidRPr="653AC308">
              <w:rPr>
                <w:rFonts w:eastAsia="Arial Unicode MS" w:cs="Arial Unicode MS"/>
                <w:color w:val="auto"/>
              </w:rPr>
              <w:t>Driver</w:t>
            </w:r>
          </w:p>
        </w:tc>
        <w:tc>
          <w:tcPr>
            <w:tcW w:w="1977" w:type="dxa"/>
          </w:tcPr>
          <w:p w14:paraId="2B9ED975" w14:textId="2EEEC0FF" w:rsidR="371BF7BD" w:rsidRDefault="371BF7BD" w:rsidP="653AC308">
            <w:pPr>
              <w:pStyle w:val="BodyText"/>
            </w:pPr>
            <w:r w:rsidRPr="653AC308">
              <w:rPr>
                <w:rFonts w:eastAsia="Arial Unicode MS" w:cs="Arial Unicode MS"/>
                <w:color w:val="auto"/>
              </w:rPr>
              <w:t>Reference</w:t>
            </w:r>
          </w:p>
        </w:tc>
        <w:tc>
          <w:tcPr>
            <w:tcW w:w="1977" w:type="dxa"/>
          </w:tcPr>
          <w:p w14:paraId="6783A33A" w14:textId="00258AFA" w:rsidR="371BF7BD" w:rsidRDefault="371BF7BD" w:rsidP="653AC308">
            <w:pPr>
              <w:pStyle w:val="BodyText"/>
            </w:pPr>
            <w:r w:rsidRPr="653AC308">
              <w:rPr>
                <w:rFonts w:eastAsia="Arial Unicode MS" w:cs="Arial Unicode MS"/>
                <w:color w:val="auto"/>
              </w:rPr>
              <w:t>High</w:t>
            </w:r>
          </w:p>
        </w:tc>
        <w:tc>
          <w:tcPr>
            <w:tcW w:w="1977" w:type="dxa"/>
          </w:tcPr>
          <w:p w14:paraId="484F0435" w14:textId="23E0BB40" w:rsidR="371BF7BD" w:rsidRDefault="371BF7BD" w:rsidP="653AC308">
            <w:pPr>
              <w:pStyle w:val="BodyText"/>
            </w:pPr>
            <w:r w:rsidRPr="653AC308">
              <w:rPr>
                <w:rFonts w:eastAsia="Arial Unicode MS" w:cs="Arial Unicode MS"/>
                <w:color w:val="auto"/>
              </w:rPr>
              <w:t>Low</w:t>
            </w:r>
          </w:p>
        </w:tc>
        <w:tc>
          <w:tcPr>
            <w:tcW w:w="1977" w:type="dxa"/>
          </w:tcPr>
          <w:p w14:paraId="0C54D248" w14:textId="500505E5" w:rsidR="371BF7BD" w:rsidRDefault="371BF7BD" w:rsidP="653AC308">
            <w:pPr>
              <w:pStyle w:val="BodyText"/>
            </w:pPr>
            <w:r w:rsidRPr="653AC308">
              <w:rPr>
                <w:rFonts w:eastAsia="Arial Unicode MS" w:cs="Arial Unicode MS"/>
                <w:color w:val="auto"/>
              </w:rPr>
              <w:t>General</w:t>
            </w:r>
          </w:p>
        </w:tc>
      </w:tr>
      <w:tr w:rsidR="653AC308" w14:paraId="2165FD74" w14:textId="77777777" w:rsidTr="653AC308">
        <w:trPr>
          <w:trHeight w:val="300"/>
        </w:trPr>
        <w:tc>
          <w:tcPr>
            <w:tcW w:w="1977" w:type="dxa"/>
          </w:tcPr>
          <w:p w14:paraId="72138C6C" w14:textId="099D0492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Building Electrification</w:t>
            </w:r>
          </w:p>
        </w:tc>
        <w:tc>
          <w:tcPr>
            <w:tcW w:w="1977" w:type="dxa"/>
          </w:tcPr>
          <w:p w14:paraId="6619EF30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EE33296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783E4181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DCCCAF6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2F5B01F0" w14:textId="77777777" w:rsidTr="653AC308">
        <w:trPr>
          <w:trHeight w:val="300"/>
        </w:trPr>
        <w:tc>
          <w:tcPr>
            <w:tcW w:w="1977" w:type="dxa"/>
          </w:tcPr>
          <w:p w14:paraId="1A93EC7F" w14:textId="76DD0684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Transportation Electrification</w:t>
            </w:r>
          </w:p>
        </w:tc>
        <w:tc>
          <w:tcPr>
            <w:tcW w:w="1977" w:type="dxa"/>
          </w:tcPr>
          <w:p w14:paraId="12626FAB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0C3C9F0A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4E6DFDA0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4EA3A21A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4395089B" w14:textId="77777777" w:rsidTr="653AC308">
        <w:trPr>
          <w:trHeight w:val="300"/>
        </w:trPr>
        <w:tc>
          <w:tcPr>
            <w:tcW w:w="1977" w:type="dxa"/>
          </w:tcPr>
          <w:p w14:paraId="3521FB6C" w14:textId="2FFE0902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Auto/steel Sectors</w:t>
            </w:r>
          </w:p>
        </w:tc>
        <w:tc>
          <w:tcPr>
            <w:tcW w:w="1977" w:type="dxa"/>
          </w:tcPr>
          <w:p w14:paraId="4CF6D16F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1ADDC2C6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28C20FFE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2FAF793C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581F2C69" w14:textId="77777777" w:rsidTr="653AC308">
        <w:trPr>
          <w:trHeight w:val="300"/>
        </w:trPr>
        <w:tc>
          <w:tcPr>
            <w:tcW w:w="1977" w:type="dxa"/>
          </w:tcPr>
          <w:p w14:paraId="74DC7EE7" w14:textId="5493AAB6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Nation building and priority projects</w:t>
            </w:r>
          </w:p>
        </w:tc>
        <w:tc>
          <w:tcPr>
            <w:tcW w:w="1977" w:type="dxa"/>
          </w:tcPr>
          <w:p w14:paraId="51865D16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720F4E5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024F6B0A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0D802AB2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4E4924AB" w14:textId="77777777" w:rsidTr="653AC308">
        <w:trPr>
          <w:trHeight w:val="300"/>
        </w:trPr>
        <w:tc>
          <w:tcPr>
            <w:tcW w:w="1977" w:type="dxa"/>
          </w:tcPr>
          <w:p w14:paraId="39B68A6D" w14:textId="493AFF09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Industrial Mineral extraction &amp; processing sub-sector</w:t>
            </w:r>
          </w:p>
        </w:tc>
        <w:tc>
          <w:tcPr>
            <w:tcW w:w="1977" w:type="dxa"/>
          </w:tcPr>
          <w:p w14:paraId="18BDAA59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457934C9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09641AAA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25B95ED3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073F4723" w14:textId="77777777" w:rsidTr="653AC308">
        <w:trPr>
          <w:trHeight w:val="300"/>
        </w:trPr>
        <w:tc>
          <w:tcPr>
            <w:tcW w:w="1977" w:type="dxa"/>
          </w:tcPr>
          <w:p w14:paraId="4C1842C1" w14:textId="213ADA93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Electricity Demand Side Management (eDSM)</w:t>
            </w:r>
          </w:p>
        </w:tc>
        <w:tc>
          <w:tcPr>
            <w:tcW w:w="1977" w:type="dxa"/>
          </w:tcPr>
          <w:p w14:paraId="363552BF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0D3B14EF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415CEFF5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C898322" w14:textId="4FB3CCEF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  <w:tr w:rsidR="653AC308" w14:paraId="1B477DB5" w14:textId="77777777" w:rsidTr="653AC308">
        <w:trPr>
          <w:trHeight w:val="300"/>
        </w:trPr>
        <w:tc>
          <w:tcPr>
            <w:tcW w:w="1977" w:type="dxa"/>
          </w:tcPr>
          <w:p w14:paraId="30D80B04" w14:textId="22659B6D" w:rsidR="371BF7BD" w:rsidRDefault="371BF7BD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  <w:r w:rsidRPr="653AC308">
              <w:rPr>
                <w:rFonts w:eastAsia="Arial Unicode MS" w:cs="Arial Unicode MS"/>
                <w:color w:val="auto"/>
              </w:rPr>
              <w:t>Data centre development</w:t>
            </w:r>
          </w:p>
        </w:tc>
        <w:tc>
          <w:tcPr>
            <w:tcW w:w="1977" w:type="dxa"/>
          </w:tcPr>
          <w:p w14:paraId="51B41703" w14:textId="65F7E409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64EEFE5D" w14:textId="033E8891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ED2CB1B" w14:textId="5A9805A8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  <w:tc>
          <w:tcPr>
            <w:tcW w:w="1977" w:type="dxa"/>
          </w:tcPr>
          <w:p w14:paraId="553EAFCD" w14:textId="54EF88D0" w:rsidR="653AC308" w:rsidRDefault="653AC308" w:rsidP="653AC308">
            <w:pPr>
              <w:pStyle w:val="BodyText"/>
              <w:rPr>
                <w:rFonts w:eastAsia="Arial Unicode MS" w:cs="Arial Unicode MS"/>
                <w:color w:val="auto"/>
              </w:rPr>
            </w:pPr>
          </w:p>
        </w:tc>
      </w:tr>
    </w:tbl>
    <w:p w14:paraId="3A7E924F" w14:textId="6D87E05D" w:rsidR="005635C8" w:rsidRDefault="005635C8" w:rsidP="653AC308">
      <w:pPr>
        <w:pStyle w:val="BodyText"/>
        <w:rPr>
          <w:rFonts w:eastAsia="Arial Unicode MS" w:cs="Arial Unicode MS"/>
          <w:color w:val="auto"/>
        </w:rPr>
      </w:pPr>
    </w:p>
    <w:p w14:paraId="12EE16E3" w14:textId="7B6303A2" w:rsidR="005635C8" w:rsidRDefault="005635C8" w:rsidP="653AC308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</w:p>
    <w:p w14:paraId="3A16FCEE" w14:textId="7DFDF177" w:rsidR="00BE30DD" w:rsidRPr="00252E3B" w:rsidRDefault="00BE30DD" w:rsidP="00BE30DD">
      <w:pPr>
        <w:pStyle w:val="BodyText"/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Industrial decarbonization &amp; Hydrogen </w:t>
      </w:r>
    </w:p>
    <w:p w14:paraId="6C3B4FD7" w14:textId="1DAD72C9" w:rsidR="00BE30DD" w:rsidRDefault="68C6DBDB" w:rsidP="00BE30DD">
      <w:pPr>
        <w:pStyle w:val="BodyText"/>
        <w:rPr>
          <w:color w:val="000000" w:themeColor="text1"/>
        </w:rPr>
      </w:pPr>
      <w:r w:rsidRPr="653AC308">
        <w:rPr>
          <w:color w:val="000000" w:themeColor="text1"/>
        </w:rPr>
        <w:t xml:space="preserve">What additional considerations should IESO </w:t>
      </w:r>
      <w:proofErr w:type="gramStart"/>
      <w:r w:rsidRPr="653AC308">
        <w:rPr>
          <w:color w:val="000000" w:themeColor="text1"/>
        </w:rPr>
        <w:t>take into account</w:t>
      </w:r>
      <w:proofErr w:type="gramEnd"/>
      <w:r w:rsidRPr="653AC308">
        <w:rPr>
          <w:color w:val="000000" w:themeColor="text1"/>
        </w:rPr>
        <w:t xml:space="preserve"> when modelling </w:t>
      </w:r>
      <w:r>
        <w:t>the Industrial decarbonization &amp; Hydrogen</w:t>
      </w:r>
      <w:r w:rsidRPr="653AC308">
        <w:rPr>
          <w:color w:val="000000" w:themeColor="text1"/>
        </w:rPr>
        <w:t xml:space="preserve"> in the 2027 APO?</w:t>
      </w:r>
    </w:p>
    <w:p w14:paraId="42918386" w14:textId="77777777" w:rsidR="008424A6" w:rsidRDefault="008424A6" w:rsidP="00BE30DD">
      <w:pPr>
        <w:pStyle w:val="BodyText"/>
        <w:rPr>
          <w:color w:val="000000" w:themeColor="text1"/>
        </w:rPr>
      </w:pPr>
    </w:p>
    <w:p w14:paraId="484DF1E5" w14:textId="77777777" w:rsidR="008424A6" w:rsidRDefault="008424A6" w:rsidP="00BE30DD">
      <w:pPr>
        <w:pStyle w:val="BodyText"/>
        <w:rPr>
          <w:color w:val="000000" w:themeColor="text1"/>
        </w:rPr>
      </w:pPr>
    </w:p>
    <w:p w14:paraId="19338DC8" w14:textId="77777777" w:rsidR="008424A6" w:rsidRPr="00252E3B" w:rsidRDefault="008424A6" w:rsidP="00BE30DD">
      <w:pPr>
        <w:pStyle w:val="BodyText"/>
      </w:pPr>
    </w:p>
    <w:p w14:paraId="3DB42A45" w14:textId="77777777" w:rsidR="008424A6" w:rsidRDefault="008424A6" w:rsidP="00BE30DD">
      <w:pPr>
        <w:pStyle w:val="BodyText"/>
        <w:rPr>
          <w:rFonts w:eastAsia="Arial Unicode MS" w:cs="Arial Unicode MS"/>
          <w:color w:val="003366"/>
          <w:sz w:val="28"/>
          <w:szCs w:val="28"/>
        </w:rPr>
      </w:pPr>
    </w:p>
    <w:p w14:paraId="30EDAC0A" w14:textId="77777777" w:rsidR="008424A6" w:rsidRDefault="008424A6" w:rsidP="00BE30DD">
      <w:pPr>
        <w:pStyle w:val="BodyText"/>
        <w:rPr>
          <w:rFonts w:eastAsia="Arial Unicode MS" w:cs="Arial Unicode MS"/>
          <w:color w:val="003366"/>
          <w:sz w:val="28"/>
          <w:szCs w:val="28"/>
        </w:rPr>
      </w:pPr>
    </w:p>
    <w:p w14:paraId="43F2F95C" w14:textId="77777777" w:rsidR="008424A6" w:rsidRDefault="008424A6" w:rsidP="00BE30DD">
      <w:pPr>
        <w:pStyle w:val="BodyText"/>
        <w:rPr>
          <w:rFonts w:eastAsia="Arial Unicode MS" w:cs="Arial Unicode MS"/>
          <w:color w:val="003366"/>
          <w:sz w:val="28"/>
          <w:szCs w:val="28"/>
        </w:rPr>
      </w:pPr>
    </w:p>
    <w:p w14:paraId="67AAF560" w14:textId="77777777" w:rsidR="008424A6" w:rsidRDefault="008424A6" w:rsidP="00BE30DD">
      <w:pPr>
        <w:pStyle w:val="BodyText"/>
        <w:rPr>
          <w:rFonts w:eastAsia="Arial Unicode MS" w:cs="Arial Unicode MS"/>
          <w:color w:val="003366"/>
          <w:sz w:val="28"/>
          <w:szCs w:val="28"/>
        </w:rPr>
      </w:pPr>
    </w:p>
    <w:p w14:paraId="548B94AA" w14:textId="5B5504EE" w:rsidR="00BE30DD" w:rsidRPr="00252E3B" w:rsidRDefault="00BE30DD" w:rsidP="00BE30D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653AC308">
        <w:rPr>
          <w:rFonts w:eastAsia="Arial Unicode MS" w:cs="Arial Unicode MS"/>
          <w:color w:val="003366"/>
          <w:sz w:val="28"/>
          <w:szCs w:val="28"/>
        </w:rPr>
        <w:lastRenderedPageBreak/>
        <w:t>Beneficial Electrification</w:t>
      </w:r>
    </w:p>
    <w:p w14:paraId="43302FDC" w14:textId="5C5BD83A" w:rsidR="00B5724B" w:rsidRDefault="02858561" w:rsidP="0052753C">
      <w:pPr>
        <w:pStyle w:val="BodyText"/>
        <w:rPr>
          <w:color w:val="000000" w:themeColor="text1"/>
        </w:rPr>
      </w:pPr>
      <w:r w:rsidRPr="653AC308">
        <w:rPr>
          <w:color w:val="000000" w:themeColor="text1"/>
        </w:rPr>
        <w:t xml:space="preserve">What additional considerations should IESO </w:t>
      </w:r>
      <w:proofErr w:type="gramStart"/>
      <w:r w:rsidRPr="653AC308">
        <w:rPr>
          <w:color w:val="000000" w:themeColor="text1"/>
        </w:rPr>
        <w:t>take into account</w:t>
      </w:r>
      <w:proofErr w:type="gramEnd"/>
      <w:r w:rsidRPr="653AC308">
        <w:rPr>
          <w:color w:val="000000" w:themeColor="text1"/>
        </w:rPr>
        <w:t xml:space="preserve"> when modelling Beneficial Electrification in the </w:t>
      </w:r>
      <w:r w:rsidR="00BE30DD" w:rsidRPr="653AC308">
        <w:rPr>
          <w:color w:val="000000" w:themeColor="text1"/>
        </w:rPr>
        <w:t>2027 APO?</w:t>
      </w:r>
    </w:p>
    <w:p w14:paraId="5C4548A8" w14:textId="77777777" w:rsidR="008424A6" w:rsidRDefault="008424A6" w:rsidP="0052753C">
      <w:pPr>
        <w:pStyle w:val="BodyText"/>
        <w:rPr>
          <w:color w:val="000000" w:themeColor="text1"/>
        </w:rPr>
      </w:pPr>
    </w:p>
    <w:p w14:paraId="71A8C20E" w14:textId="77777777" w:rsidR="008424A6" w:rsidRDefault="008424A6" w:rsidP="0052753C">
      <w:pPr>
        <w:pStyle w:val="BodyText"/>
      </w:pPr>
    </w:p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A1B3898" w14:textId="77777777" w:rsidR="008424A6" w:rsidRDefault="008424A6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6F312B" w14:textId="77777777" w:rsidR="008424A6" w:rsidRDefault="008424A6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31570533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2F21" w14:textId="77777777" w:rsidR="008534DB" w:rsidRDefault="008534DB">
      <w:r>
        <w:separator/>
      </w:r>
    </w:p>
  </w:endnote>
  <w:endnote w:type="continuationSeparator" w:id="0">
    <w:p w14:paraId="5C8AF858" w14:textId="77777777" w:rsidR="008534DB" w:rsidRDefault="0085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4E41069D" w:rsidR="00834980" w:rsidRDefault="008424A6" w:rsidP="00682EBB">
    <w:pPr>
      <w:pStyle w:val="Footer"/>
      <w:tabs>
        <w:tab w:val="clear" w:pos="11333"/>
        <w:tab w:val="right" w:pos="9873"/>
      </w:tabs>
    </w:pPr>
    <w:r w:rsidRPr="008424A6">
      <w:t>APO 2026 Demand Forecast &amp; 2027 Planning Scenarios</w:t>
    </w:r>
    <w:r w:rsidR="00682EBB" w:rsidRPr="008424A6">
      <w:t xml:space="preserve"> </w:t>
    </w:r>
    <w:r w:rsidR="00B5724B">
      <w:t>-</w:t>
    </w:r>
    <w:r>
      <w:t xml:space="preserve"> </w:t>
    </w:r>
    <w:r w:rsidR="00B5724B">
      <w:t>Public</w:t>
    </w:r>
    <w:r w:rsidR="00682EBB" w:rsidRPr="008424A6">
      <w:ptab w:relativeTo="margin" w:alignment="left" w:leader="none"/>
    </w:r>
    <w:r w:rsidR="00682EBB" w:rsidRPr="008424A6">
      <w:ptab w:relativeTo="margin" w:alignment="lef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t>1</w:t>
    </w:r>
    <w:r w:rsidR="00682EBB" w:rsidRPr="00682EB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E615" w14:textId="77777777" w:rsidR="008534DB" w:rsidRDefault="008534DB">
      <w:r>
        <w:separator/>
      </w:r>
    </w:p>
  </w:footnote>
  <w:footnote w:type="continuationSeparator" w:id="0">
    <w:p w14:paraId="0F408A19" w14:textId="77777777" w:rsidR="008534DB" w:rsidRDefault="0085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102B98"/>
    <w:rsid w:val="00151178"/>
    <w:rsid w:val="001660E5"/>
    <w:rsid w:val="001763AA"/>
    <w:rsid w:val="001A6850"/>
    <w:rsid w:val="001B4AF2"/>
    <w:rsid w:val="001D2D3B"/>
    <w:rsid w:val="001F3091"/>
    <w:rsid w:val="00252E3B"/>
    <w:rsid w:val="003020F1"/>
    <w:rsid w:val="004608C7"/>
    <w:rsid w:val="004A7E18"/>
    <w:rsid w:val="004C6896"/>
    <w:rsid w:val="004D4FA8"/>
    <w:rsid w:val="0052753C"/>
    <w:rsid w:val="005420E7"/>
    <w:rsid w:val="005635C8"/>
    <w:rsid w:val="00570E71"/>
    <w:rsid w:val="00577993"/>
    <w:rsid w:val="005A2F0F"/>
    <w:rsid w:val="005E7E77"/>
    <w:rsid w:val="00682EBB"/>
    <w:rsid w:val="00735E87"/>
    <w:rsid w:val="007D713D"/>
    <w:rsid w:val="00834980"/>
    <w:rsid w:val="008424A6"/>
    <w:rsid w:val="008534DB"/>
    <w:rsid w:val="00857CB4"/>
    <w:rsid w:val="00873674"/>
    <w:rsid w:val="00874FCB"/>
    <w:rsid w:val="009306A3"/>
    <w:rsid w:val="009851A6"/>
    <w:rsid w:val="009E1BE3"/>
    <w:rsid w:val="00A03A04"/>
    <w:rsid w:val="00A2DC7A"/>
    <w:rsid w:val="00B5724B"/>
    <w:rsid w:val="00B61210"/>
    <w:rsid w:val="00BD5FEE"/>
    <w:rsid w:val="00BD74AD"/>
    <w:rsid w:val="00BE30DD"/>
    <w:rsid w:val="00BF54BB"/>
    <w:rsid w:val="00C00D91"/>
    <w:rsid w:val="00CA33AB"/>
    <w:rsid w:val="00CB17F0"/>
    <w:rsid w:val="00D00916"/>
    <w:rsid w:val="00D12111"/>
    <w:rsid w:val="00D43313"/>
    <w:rsid w:val="00D47F0E"/>
    <w:rsid w:val="00E5276A"/>
    <w:rsid w:val="00E566E5"/>
    <w:rsid w:val="00EC27D0"/>
    <w:rsid w:val="00F02804"/>
    <w:rsid w:val="00F21557"/>
    <w:rsid w:val="00F265E2"/>
    <w:rsid w:val="00F51F38"/>
    <w:rsid w:val="00F84E08"/>
    <w:rsid w:val="00F91B98"/>
    <w:rsid w:val="00FE0D1B"/>
    <w:rsid w:val="02858561"/>
    <w:rsid w:val="070CA3B3"/>
    <w:rsid w:val="0CACAB1F"/>
    <w:rsid w:val="0EDA0C7D"/>
    <w:rsid w:val="1347D4A2"/>
    <w:rsid w:val="1645E668"/>
    <w:rsid w:val="187BE759"/>
    <w:rsid w:val="19B9B613"/>
    <w:rsid w:val="1A071DAF"/>
    <w:rsid w:val="1FD1714F"/>
    <w:rsid w:val="20A703EF"/>
    <w:rsid w:val="2356297B"/>
    <w:rsid w:val="248BABBC"/>
    <w:rsid w:val="2C181BE1"/>
    <w:rsid w:val="3148FEE9"/>
    <w:rsid w:val="371BF7BD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CB6D29C"/>
    <w:rsid w:val="4D383400"/>
    <w:rsid w:val="4F55BD03"/>
    <w:rsid w:val="51DD60D5"/>
    <w:rsid w:val="52408EB4"/>
    <w:rsid w:val="55EEE4F2"/>
    <w:rsid w:val="5720A3AF"/>
    <w:rsid w:val="5D1B9D28"/>
    <w:rsid w:val="5EC62F46"/>
    <w:rsid w:val="638F66BA"/>
    <w:rsid w:val="653AC308"/>
    <w:rsid w:val="68C6DBDB"/>
    <w:rsid w:val="6BBF1C18"/>
    <w:rsid w:val="6F1E3FE1"/>
    <w:rsid w:val="6FC0CF8B"/>
    <w:rsid w:val="73361B24"/>
    <w:rsid w:val="74D2351C"/>
    <w:rsid w:val="74D45DF0"/>
    <w:rsid w:val="7509A95A"/>
    <w:rsid w:val="7CC2E0D4"/>
    <w:rsid w:val="7D55024F"/>
    <w:rsid w:val="7F1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Engagement-Initiatives/Engagements/Annual-Planning-Outloo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eso.ca/Sector-Participants/Engagement-Initiatives/Engagements/Annual-Planning-Outloo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eso.ca/Sector-Participants/Engagement-Initiatives/Engagements/Annual-Planning-Outloo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e8cdfa92-5fbc-415b-802d-96b25a684034"/>
  </ds:schemaRefs>
</ds:datastoreItem>
</file>

<file path=customXml/itemProps2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1414</Characters>
  <Application>Microsoft Office Word</Application>
  <DocSecurity>0</DocSecurity>
  <Lines>11</Lines>
  <Paragraphs>3</Paragraphs>
  <ScaleCrop>false</ScaleCrop>
  <Company>IESO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2</cp:revision>
  <dcterms:created xsi:type="dcterms:W3CDTF">2025-11-17T21:08:00Z</dcterms:created>
  <dcterms:modified xsi:type="dcterms:W3CDTF">2025-11-17T21:08:00Z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