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>
              <v:rect id="Rectangle 4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Decorative" o:spid="_x0000_s1026" fillcolor="#036 [3215]" stroked="f" strokeweight="1pt" w14:anchorId="49AA9D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>
                <v:fill type="gradient" color2="#006b71 [3207]" angle="90" focus="100%">
                  <o:fill v:ext="view" type="gradientUnscaled"/>
                </v:fill>
                <v:textbox inset="18pt,18pt,18pt,18pt">
                  <w:txbxContent>
                    <w:p w:rsidRPr="006F582B" w:rsidR="0035658F" w:rsidP="00D4161A" w:rsidRDefault="002040D1" w14:paraId="673B9EF4" w14:textId="6B08E914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6ED14974" w:rsidR="006F582B" w:rsidRDefault="00414D05" w:rsidP="006F582B">
      <w:pPr>
        <w:pStyle w:val="Heading2"/>
      </w:pPr>
      <w:bookmarkStart w:id="0" w:name="_GoBack"/>
      <w:r>
        <w:t>Capacity Auction Enhancements</w:t>
      </w:r>
      <w:r w:rsidR="007A1A30">
        <w:t xml:space="preserve"> – </w:t>
      </w:r>
      <w:r>
        <w:t>March 30, 2023</w:t>
      </w:r>
      <w:bookmarkEnd w:id="0"/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2519D9D8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414D05">
        <w:rPr>
          <w:rFonts w:eastAsiaTheme="minorEastAsia" w:cs="Tahoma"/>
          <w:szCs w:val="22"/>
          <w:lang w:val="en-US"/>
        </w:rPr>
        <w:t>March 30,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Pr="00F5692C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0B73AB5B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2" w:history="1">
        <w:r w:rsidR="00F5692C" w:rsidRPr="00F5692C">
          <w:rPr>
            <w:rStyle w:val="Hyperlink"/>
            <w:lang w:val="en-US"/>
          </w:rPr>
          <w:t>engagement@ieso.ca</w:t>
        </w:r>
      </w:hyperlink>
      <w:r w:rsidR="00F5692C" w:rsidRPr="00F5692C">
        <w:rPr>
          <w:rStyle w:val="Hyperlink"/>
          <w:u w:val="none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9B6FE3">
        <w:rPr>
          <w:rFonts w:eastAsiaTheme="minorEastAsia" w:cs="Tahoma"/>
          <w:b/>
          <w:szCs w:val="22"/>
          <w:lang w:val="en-US"/>
        </w:rPr>
        <w:t>April 13,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37397D0A" w:rsidR="00C04795" w:rsidRPr="004200EA" w:rsidRDefault="00414D05" w:rsidP="00EF1F49">
      <w:pPr>
        <w:pStyle w:val="Heading3"/>
      </w:pPr>
      <w:bookmarkStart w:id="1" w:name="_Toc35868671"/>
      <w:r>
        <w:lastRenderedPageBreak/>
        <w:t>Stream 1: Proposed Amendments to the Market Rules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900"/>
        <w:gridCol w:w="2430"/>
        <w:gridCol w:w="1170"/>
        <w:gridCol w:w="5580"/>
      </w:tblGrid>
      <w:tr w:rsidR="00414D05" w:rsidRPr="006B7128" w14:paraId="2152FC12" w14:textId="77777777" w:rsidTr="003B60C8">
        <w:trPr>
          <w:cantSplit/>
          <w:trHeight w:val="144"/>
          <w:tblHeader/>
        </w:trPr>
        <w:tc>
          <w:tcPr>
            <w:tcW w:w="900" w:type="dxa"/>
            <w:tcMar>
              <w:top w:w="0" w:type="dxa"/>
              <w:bottom w:w="130" w:type="dxa"/>
            </w:tcMar>
            <w:vAlign w:val="center"/>
          </w:tcPr>
          <w:p w14:paraId="7BCF6EFE" w14:textId="77777777" w:rsidR="00414D05" w:rsidRPr="003A3754" w:rsidRDefault="00414D05" w:rsidP="001B5E00">
            <w:pPr>
              <w:pStyle w:val="TableHeaderLeftAlignment"/>
            </w:pPr>
            <w:r>
              <w:t>Market Rule Chapter</w:t>
            </w:r>
          </w:p>
        </w:tc>
        <w:tc>
          <w:tcPr>
            <w:tcW w:w="2430" w:type="dxa"/>
            <w:vAlign w:val="center"/>
          </w:tcPr>
          <w:p w14:paraId="5FE1FCE2" w14:textId="77777777" w:rsidR="00414D05" w:rsidRDefault="00414D05" w:rsidP="001B5E00">
            <w:pPr>
              <w:pStyle w:val="TableHeaderRightAlignment"/>
              <w:framePr w:wrap="around"/>
            </w:pPr>
            <w:r>
              <w:t>Title</w:t>
            </w:r>
          </w:p>
        </w:tc>
        <w:tc>
          <w:tcPr>
            <w:tcW w:w="1170" w:type="dxa"/>
            <w:vAlign w:val="center"/>
          </w:tcPr>
          <w:p w14:paraId="7BAF589E" w14:textId="69F25817" w:rsidR="00414D05" w:rsidRDefault="003B60C8" w:rsidP="003B60C8">
            <w:pPr>
              <w:pStyle w:val="TableHeaderRightAlignment"/>
              <w:framePr w:wrap="around"/>
            </w:pPr>
            <w:r>
              <w:t>Identify the s</w:t>
            </w:r>
            <w:r w:rsidR="00414D05">
              <w:t>ub-section</w:t>
            </w:r>
          </w:p>
        </w:tc>
        <w:tc>
          <w:tcPr>
            <w:tcW w:w="5580" w:type="dxa"/>
            <w:tcMar>
              <w:top w:w="0" w:type="dxa"/>
              <w:left w:w="144" w:type="dxa"/>
              <w:bottom w:w="130" w:type="dxa"/>
              <w:right w:w="0" w:type="dxa"/>
            </w:tcMar>
            <w:vAlign w:val="center"/>
          </w:tcPr>
          <w:p w14:paraId="10E7A288" w14:textId="77777777" w:rsidR="00414D05" w:rsidRPr="006B7128" w:rsidRDefault="00414D05" w:rsidP="001B5E00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14D05" w:rsidRPr="006B7128" w14:paraId="247B13C4" w14:textId="77777777" w:rsidTr="003B60C8">
        <w:trPr>
          <w:trHeight w:val="144"/>
        </w:trPr>
        <w:tc>
          <w:tcPr>
            <w:tcW w:w="900" w:type="dxa"/>
            <w:shd w:val="clear" w:color="auto" w:fill="auto"/>
            <w:tcMar>
              <w:top w:w="130" w:type="dxa"/>
              <w:bottom w:w="130" w:type="dxa"/>
            </w:tcMar>
          </w:tcPr>
          <w:p w14:paraId="079D0F04" w14:textId="77777777" w:rsidR="00414D05" w:rsidRPr="006B7128" w:rsidRDefault="00414D05" w:rsidP="001B5E00">
            <w:pPr>
              <w:pStyle w:val="TableNumeralsLeftAlignment"/>
            </w:pPr>
            <w:r>
              <w:t>Ch. 7</w:t>
            </w:r>
          </w:p>
        </w:tc>
        <w:tc>
          <w:tcPr>
            <w:tcW w:w="2430" w:type="dxa"/>
          </w:tcPr>
          <w:p w14:paraId="2F55C314" w14:textId="77777777" w:rsidR="00414D05" w:rsidRDefault="00414D05" w:rsidP="001B5E00">
            <w:pPr>
              <w:pStyle w:val="TableNumeralsLeftAlignment"/>
            </w:pPr>
            <w:r>
              <w:t>System Operations and Physical Markets</w:t>
            </w:r>
          </w:p>
        </w:tc>
        <w:tc>
          <w:tcPr>
            <w:tcW w:w="1170" w:type="dxa"/>
          </w:tcPr>
          <w:p w14:paraId="082999B4" w14:textId="77777777" w:rsidR="00414D05" w:rsidRDefault="00414D05" w:rsidP="001B5E00">
            <w:pPr>
              <w:pStyle w:val="TableNumeralsLeftAlignment"/>
            </w:pPr>
          </w:p>
        </w:tc>
        <w:sdt>
          <w:sdtPr>
            <w:id w:val="-1901656874"/>
            <w:placeholder>
              <w:docPart w:val="8B4D9310BB7F4CB4B3627DED5876C70D"/>
            </w:placeholder>
            <w:showingPlcHdr/>
            <w:text/>
          </w:sdtPr>
          <w:sdtEndPr/>
          <w:sdtContent>
            <w:tc>
              <w:tcPr>
                <w:tcW w:w="558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EFA5426" w14:textId="77777777" w:rsidR="00414D05" w:rsidRPr="006D7540" w:rsidRDefault="00414D05" w:rsidP="001B5E00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4D05" w:rsidRPr="006B7128" w14:paraId="17E7DC7C" w14:textId="77777777" w:rsidTr="003B60C8">
        <w:trPr>
          <w:trHeight w:val="144"/>
        </w:trPr>
        <w:tc>
          <w:tcPr>
            <w:tcW w:w="900" w:type="dxa"/>
            <w:shd w:val="clear" w:color="auto" w:fill="auto"/>
            <w:tcMar>
              <w:top w:w="130" w:type="dxa"/>
              <w:bottom w:w="130" w:type="dxa"/>
            </w:tcMar>
          </w:tcPr>
          <w:p w14:paraId="20B21781" w14:textId="77777777" w:rsidR="00414D05" w:rsidRDefault="00414D05" w:rsidP="001B5E00">
            <w:pPr>
              <w:pStyle w:val="TableNumeralsLeftAlignment"/>
            </w:pPr>
            <w:r>
              <w:t>Ch. 9</w:t>
            </w:r>
          </w:p>
        </w:tc>
        <w:tc>
          <w:tcPr>
            <w:tcW w:w="2430" w:type="dxa"/>
          </w:tcPr>
          <w:p w14:paraId="6B3C6669" w14:textId="77777777" w:rsidR="00414D05" w:rsidRDefault="00414D05" w:rsidP="001B5E00">
            <w:pPr>
              <w:pStyle w:val="TableNumeralsLeftAlignment"/>
            </w:pPr>
            <w:r>
              <w:t>Settlements and Billing</w:t>
            </w:r>
          </w:p>
        </w:tc>
        <w:tc>
          <w:tcPr>
            <w:tcW w:w="1170" w:type="dxa"/>
          </w:tcPr>
          <w:p w14:paraId="0731ACFB" w14:textId="77777777" w:rsidR="00414D05" w:rsidRDefault="00414D05" w:rsidP="001B5E00">
            <w:pPr>
              <w:pStyle w:val="TableNumeralsLeftAlignment"/>
            </w:pPr>
          </w:p>
        </w:tc>
        <w:sdt>
          <w:sdtPr>
            <w:id w:val="-179054358"/>
            <w:placeholder>
              <w:docPart w:val="C7C3BF57273E436FBB0174CA3165020D"/>
            </w:placeholder>
            <w:showingPlcHdr/>
            <w:text/>
          </w:sdtPr>
          <w:sdtEndPr/>
          <w:sdtContent>
            <w:tc>
              <w:tcPr>
                <w:tcW w:w="558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7C5BCC7" w14:textId="77777777" w:rsidR="00414D05" w:rsidRDefault="00414D05" w:rsidP="001B5E00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4D05" w:rsidRPr="006B7128" w14:paraId="470B3401" w14:textId="77777777" w:rsidTr="003B60C8">
        <w:trPr>
          <w:trHeight w:val="144"/>
        </w:trPr>
        <w:tc>
          <w:tcPr>
            <w:tcW w:w="900" w:type="dxa"/>
            <w:shd w:val="clear" w:color="auto" w:fill="auto"/>
            <w:tcMar>
              <w:top w:w="130" w:type="dxa"/>
              <w:bottom w:w="130" w:type="dxa"/>
            </w:tcMar>
          </w:tcPr>
          <w:p w14:paraId="350251BF" w14:textId="77777777" w:rsidR="00414D05" w:rsidRDefault="00414D05" w:rsidP="001B5E00">
            <w:pPr>
              <w:pStyle w:val="TableNumeralsLeftAlignment"/>
            </w:pPr>
            <w:r>
              <w:t>Ch. 11</w:t>
            </w:r>
          </w:p>
        </w:tc>
        <w:tc>
          <w:tcPr>
            <w:tcW w:w="2430" w:type="dxa"/>
          </w:tcPr>
          <w:p w14:paraId="3506D7EA" w14:textId="77777777" w:rsidR="00414D05" w:rsidRDefault="00414D05" w:rsidP="001B5E00">
            <w:pPr>
              <w:pStyle w:val="TableNumeralsLeftAlignment"/>
            </w:pPr>
            <w:r>
              <w:t>Definitions</w:t>
            </w:r>
          </w:p>
        </w:tc>
        <w:tc>
          <w:tcPr>
            <w:tcW w:w="1170" w:type="dxa"/>
          </w:tcPr>
          <w:p w14:paraId="62960971" w14:textId="77777777" w:rsidR="00414D05" w:rsidRDefault="00414D05" w:rsidP="001B5E00">
            <w:pPr>
              <w:pStyle w:val="TableNumeralsLeftAlignment"/>
            </w:pPr>
          </w:p>
        </w:tc>
        <w:sdt>
          <w:sdtPr>
            <w:id w:val="-1011064833"/>
            <w:placeholder>
              <w:docPart w:val="B4DF1580333C4F0292297BC7E0277F2F"/>
            </w:placeholder>
            <w:showingPlcHdr/>
            <w:text/>
          </w:sdtPr>
          <w:sdtEndPr/>
          <w:sdtContent>
            <w:tc>
              <w:tcPr>
                <w:tcW w:w="558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0F5214C" w14:textId="77777777" w:rsidR="00414D05" w:rsidRDefault="00414D05" w:rsidP="001B5E00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39515009" w:rsidR="00915C81" w:rsidRDefault="00414D05" w:rsidP="00915C81">
      <w:pPr>
        <w:pStyle w:val="Heading3"/>
      </w:pPr>
      <w:r>
        <w:t>Stream 1: Proposed Amendments to the Market Manuals</w:t>
      </w:r>
    </w:p>
    <w:tbl>
      <w:tblPr>
        <w:tblStyle w:val="TableGrid"/>
        <w:tblW w:w="989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810"/>
        <w:gridCol w:w="2520"/>
        <w:gridCol w:w="1170"/>
        <w:gridCol w:w="5393"/>
      </w:tblGrid>
      <w:tr w:rsidR="00414D05" w:rsidRPr="006B7128" w14:paraId="3992315B" w14:textId="77777777" w:rsidTr="003B60C8">
        <w:trPr>
          <w:cantSplit/>
          <w:trHeight w:val="144"/>
          <w:tblHeader/>
        </w:trPr>
        <w:tc>
          <w:tcPr>
            <w:tcW w:w="810" w:type="dxa"/>
          </w:tcPr>
          <w:p w14:paraId="3E612FB9" w14:textId="77777777" w:rsidR="00414D05" w:rsidRDefault="00414D05" w:rsidP="001B5E00">
            <w:pPr>
              <w:pStyle w:val="TableHeaderLeftAlignment"/>
            </w:pPr>
            <w:r>
              <w:t>Market Manual</w:t>
            </w:r>
          </w:p>
        </w:tc>
        <w:tc>
          <w:tcPr>
            <w:tcW w:w="2520" w:type="dxa"/>
            <w:tcMar>
              <w:top w:w="0" w:type="dxa"/>
              <w:bottom w:w="130" w:type="dxa"/>
            </w:tcMar>
            <w:vAlign w:val="center"/>
          </w:tcPr>
          <w:p w14:paraId="3170AEBD" w14:textId="77777777" w:rsidR="00414D05" w:rsidRPr="003A3754" w:rsidRDefault="00414D05" w:rsidP="001B5E00">
            <w:pPr>
              <w:pStyle w:val="TableHeaderLeftAlignment"/>
            </w:pPr>
            <w:r>
              <w:t>Title</w:t>
            </w:r>
          </w:p>
        </w:tc>
        <w:tc>
          <w:tcPr>
            <w:tcW w:w="1170" w:type="dxa"/>
            <w:vAlign w:val="center"/>
          </w:tcPr>
          <w:p w14:paraId="33DAA0E4" w14:textId="77777777" w:rsidR="003B60C8" w:rsidRDefault="003B60C8" w:rsidP="003B60C8">
            <w:pPr>
              <w:pStyle w:val="TableHeaderRightAlignment"/>
              <w:framePr w:wrap="around"/>
            </w:pPr>
            <w:r>
              <w:t>Identify the</w:t>
            </w:r>
          </w:p>
          <w:p w14:paraId="4AEC5D07" w14:textId="2A4BAA8D" w:rsidR="00414D05" w:rsidRDefault="003B60C8" w:rsidP="003B60C8">
            <w:pPr>
              <w:pStyle w:val="TableHeaderRightAlignment"/>
              <w:framePr w:wrap="around"/>
            </w:pPr>
            <w:r w:rsidRPr="003B60C8">
              <w:t>sub-section</w:t>
            </w:r>
          </w:p>
        </w:tc>
        <w:tc>
          <w:tcPr>
            <w:tcW w:w="5393" w:type="dxa"/>
            <w:tcMar>
              <w:top w:w="0" w:type="dxa"/>
              <w:left w:w="144" w:type="dxa"/>
              <w:bottom w:w="130" w:type="dxa"/>
              <w:right w:w="0" w:type="dxa"/>
            </w:tcMar>
            <w:vAlign w:val="center"/>
          </w:tcPr>
          <w:p w14:paraId="68B9C39C" w14:textId="77777777" w:rsidR="00414D05" w:rsidRPr="006B7128" w:rsidRDefault="00414D05" w:rsidP="001B5E00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14D05" w:rsidRPr="006B7128" w14:paraId="4A417285" w14:textId="77777777" w:rsidTr="003B60C8">
        <w:trPr>
          <w:trHeight w:val="144"/>
        </w:trPr>
        <w:tc>
          <w:tcPr>
            <w:tcW w:w="810" w:type="dxa"/>
          </w:tcPr>
          <w:p w14:paraId="387C494D" w14:textId="77777777" w:rsidR="00414D05" w:rsidRPr="006B7128" w:rsidRDefault="00414D05" w:rsidP="001B5E00">
            <w:pPr>
              <w:pStyle w:val="TableNumeralsLeftAlignment"/>
              <w:jc w:val="center"/>
            </w:pPr>
            <w:r>
              <w:t>12</w:t>
            </w:r>
          </w:p>
        </w:tc>
        <w:tc>
          <w:tcPr>
            <w:tcW w:w="2520" w:type="dxa"/>
            <w:shd w:val="clear" w:color="auto" w:fill="auto"/>
            <w:tcMar>
              <w:top w:w="130" w:type="dxa"/>
              <w:bottom w:w="130" w:type="dxa"/>
            </w:tcMar>
          </w:tcPr>
          <w:p w14:paraId="1314CF44" w14:textId="77777777" w:rsidR="00414D05" w:rsidRPr="006B7128" w:rsidRDefault="00414D05" w:rsidP="001B5E00">
            <w:pPr>
              <w:pStyle w:val="TableNumeralsLeftAlignment"/>
            </w:pPr>
            <w:r>
              <w:t>Capacity Auctions</w:t>
            </w:r>
          </w:p>
        </w:tc>
        <w:tc>
          <w:tcPr>
            <w:tcW w:w="1170" w:type="dxa"/>
          </w:tcPr>
          <w:p w14:paraId="20601156" w14:textId="77777777" w:rsidR="00414D05" w:rsidRDefault="00414D05" w:rsidP="001B5E00">
            <w:pPr>
              <w:pStyle w:val="TableNumeralsLeftAlignment"/>
            </w:pPr>
          </w:p>
        </w:tc>
        <w:sdt>
          <w:sdtPr>
            <w:id w:val="159057705"/>
            <w:placeholder>
              <w:docPart w:val="7793345A4BF84F2D81F5738906E15244"/>
            </w:placeholder>
            <w:showingPlcHdr/>
            <w:text/>
          </w:sdtPr>
          <w:sdtEndPr/>
          <w:sdtContent>
            <w:tc>
              <w:tcPr>
                <w:tcW w:w="5393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085DB79" w14:textId="77777777" w:rsidR="00414D05" w:rsidRPr="006D7540" w:rsidRDefault="00414D05" w:rsidP="001B5E00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4D05" w:rsidRPr="006B7128" w14:paraId="28683685" w14:textId="77777777" w:rsidTr="003B60C8">
        <w:trPr>
          <w:trHeight w:val="144"/>
        </w:trPr>
        <w:tc>
          <w:tcPr>
            <w:tcW w:w="810" w:type="dxa"/>
          </w:tcPr>
          <w:p w14:paraId="12B82420" w14:textId="77777777" w:rsidR="00414D05" w:rsidRDefault="00414D05" w:rsidP="001B5E00">
            <w:pPr>
              <w:pStyle w:val="TableNumeralsLeftAlignment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  <w:tcMar>
              <w:top w:w="130" w:type="dxa"/>
              <w:bottom w:w="130" w:type="dxa"/>
            </w:tcMar>
          </w:tcPr>
          <w:p w14:paraId="3D4EA90E" w14:textId="77777777" w:rsidR="00414D05" w:rsidRDefault="00414D05" w:rsidP="001B5E00">
            <w:pPr>
              <w:pStyle w:val="TableNumeralsLeftAlignment"/>
            </w:pPr>
            <w:r>
              <w:t>Real Time Scheduling of the Physical Markets</w:t>
            </w:r>
          </w:p>
        </w:tc>
        <w:tc>
          <w:tcPr>
            <w:tcW w:w="1170" w:type="dxa"/>
          </w:tcPr>
          <w:p w14:paraId="0DB8583A" w14:textId="77777777" w:rsidR="00414D05" w:rsidRDefault="00414D05" w:rsidP="001B5E00">
            <w:pPr>
              <w:pStyle w:val="TableNumeralsLeftAlignment"/>
            </w:pPr>
          </w:p>
        </w:tc>
        <w:sdt>
          <w:sdtPr>
            <w:id w:val="-272174192"/>
            <w:placeholder>
              <w:docPart w:val="D65393CD13814C12885B136CE266090C"/>
            </w:placeholder>
            <w:showingPlcHdr/>
            <w:text/>
          </w:sdtPr>
          <w:sdtEndPr/>
          <w:sdtContent>
            <w:tc>
              <w:tcPr>
                <w:tcW w:w="5393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41D7040" w14:textId="77777777" w:rsidR="00414D05" w:rsidRDefault="00414D05" w:rsidP="001B5E00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4D05" w:rsidRPr="006B7128" w14:paraId="7B91120E" w14:textId="77777777" w:rsidTr="003B60C8">
        <w:trPr>
          <w:trHeight w:val="144"/>
        </w:trPr>
        <w:tc>
          <w:tcPr>
            <w:tcW w:w="810" w:type="dxa"/>
          </w:tcPr>
          <w:p w14:paraId="41005C1E" w14:textId="77777777" w:rsidR="00414D05" w:rsidRDefault="00414D05" w:rsidP="001B5E00">
            <w:pPr>
              <w:pStyle w:val="TableNumeralsLeftAlignment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  <w:tcMar>
              <w:top w:w="130" w:type="dxa"/>
              <w:bottom w:w="130" w:type="dxa"/>
            </w:tcMar>
          </w:tcPr>
          <w:p w14:paraId="45DAAF88" w14:textId="77777777" w:rsidR="00414D05" w:rsidRDefault="00414D05" w:rsidP="001B5E00">
            <w:pPr>
              <w:pStyle w:val="TableNumeralsLeftAlignment"/>
            </w:pPr>
            <w:r>
              <w:t>Physical Markets Settlement Statements</w:t>
            </w:r>
          </w:p>
        </w:tc>
        <w:tc>
          <w:tcPr>
            <w:tcW w:w="1170" w:type="dxa"/>
          </w:tcPr>
          <w:p w14:paraId="718CDCEE" w14:textId="77777777" w:rsidR="00414D05" w:rsidRDefault="00414D05" w:rsidP="001B5E00">
            <w:pPr>
              <w:pStyle w:val="TableNumeralsLeftAlignment"/>
            </w:pPr>
          </w:p>
        </w:tc>
        <w:sdt>
          <w:sdtPr>
            <w:id w:val="-225682190"/>
            <w:placeholder>
              <w:docPart w:val="FBF0EFEA9AE144C2A5B13ABB2E1E06FD"/>
            </w:placeholder>
            <w:showingPlcHdr/>
            <w:text/>
          </w:sdtPr>
          <w:sdtEndPr/>
          <w:sdtContent>
            <w:tc>
              <w:tcPr>
                <w:tcW w:w="5393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44047F36" w14:textId="77777777" w:rsidR="00414D05" w:rsidRDefault="00414D05" w:rsidP="001B5E00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4D05" w:rsidRPr="006B7128" w14:paraId="640814B8" w14:textId="77777777" w:rsidTr="003B60C8">
        <w:trPr>
          <w:trHeight w:val="144"/>
        </w:trPr>
        <w:tc>
          <w:tcPr>
            <w:tcW w:w="810" w:type="dxa"/>
          </w:tcPr>
          <w:p w14:paraId="076EA251" w14:textId="77777777" w:rsidR="00414D05" w:rsidRDefault="00414D05" w:rsidP="001B5E00">
            <w:pPr>
              <w:pStyle w:val="TableNumeralsLeftAlignment"/>
              <w:jc w:val="center"/>
            </w:pPr>
          </w:p>
        </w:tc>
        <w:tc>
          <w:tcPr>
            <w:tcW w:w="2520" w:type="dxa"/>
            <w:shd w:val="clear" w:color="auto" w:fill="auto"/>
            <w:tcMar>
              <w:top w:w="130" w:type="dxa"/>
              <w:bottom w:w="130" w:type="dxa"/>
            </w:tcMar>
          </w:tcPr>
          <w:p w14:paraId="3A55C163" w14:textId="77777777" w:rsidR="00414D05" w:rsidRDefault="00414D05" w:rsidP="001B5E00">
            <w:pPr>
              <w:pStyle w:val="TableNumeralsLeftAlignment"/>
            </w:pPr>
            <w:r>
              <w:t>IESO Charge Types and Equations</w:t>
            </w:r>
          </w:p>
        </w:tc>
        <w:tc>
          <w:tcPr>
            <w:tcW w:w="1170" w:type="dxa"/>
          </w:tcPr>
          <w:p w14:paraId="06E8C324" w14:textId="77777777" w:rsidR="00414D05" w:rsidRDefault="00414D05" w:rsidP="001B5E00">
            <w:pPr>
              <w:pStyle w:val="TableNumeralsLeftAlignment"/>
            </w:pPr>
          </w:p>
        </w:tc>
        <w:sdt>
          <w:sdtPr>
            <w:id w:val="229743145"/>
            <w:placeholder>
              <w:docPart w:val="48E7B37E60D44576ADD52549892C3672"/>
            </w:placeholder>
            <w:showingPlcHdr/>
            <w:text/>
          </w:sdtPr>
          <w:sdtEndPr/>
          <w:sdtContent>
            <w:tc>
              <w:tcPr>
                <w:tcW w:w="5393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A92FD31" w14:textId="77777777" w:rsidR="00414D05" w:rsidRDefault="00414D05" w:rsidP="001B5E00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4D05" w:rsidRPr="006B7128" w14:paraId="54566939" w14:textId="77777777" w:rsidTr="003B60C8">
        <w:trPr>
          <w:trHeight w:val="157"/>
        </w:trPr>
        <w:tc>
          <w:tcPr>
            <w:tcW w:w="810" w:type="dxa"/>
          </w:tcPr>
          <w:p w14:paraId="250FC178" w14:textId="77777777" w:rsidR="00414D05" w:rsidRDefault="00414D05" w:rsidP="001B5E00">
            <w:pPr>
              <w:pStyle w:val="TableNumeralsLeftAlignment"/>
              <w:jc w:val="center"/>
            </w:pPr>
            <w:r>
              <w:t>7.3</w:t>
            </w:r>
          </w:p>
        </w:tc>
        <w:tc>
          <w:tcPr>
            <w:tcW w:w="2520" w:type="dxa"/>
            <w:shd w:val="clear" w:color="auto" w:fill="auto"/>
            <w:tcMar>
              <w:top w:w="130" w:type="dxa"/>
              <w:bottom w:w="130" w:type="dxa"/>
            </w:tcMar>
          </w:tcPr>
          <w:p w14:paraId="687DDE46" w14:textId="77777777" w:rsidR="00414D05" w:rsidRDefault="00414D05" w:rsidP="001B5E00">
            <w:pPr>
              <w:pStyle w:val="TableNumeralsLeftAlignment"/>
            </w:pPr>
            <w:r>
              <w:t>Outage Management</w:t>
            </w:r>
          </w:p>
        </w:tc>
        <w:tc>
          <w:tcPr>
            <w:tcW w:w="1170" w:type="dxa"/>
          </w:tcPr>
          <w:p w14:paraId="3FC520C9" w14:textId="77777777" w:rsidR="00414D05" w:rsidRDefault="00414D05" w:rsidP="001B5E00">
            <w:pPr>
              <w:pStyle w:val="TableNumeralsLeftAlignment"/>
            </w:pPr>
          </w:p>
        </w:tc>
        <w:sdt>
          <w:sdtPr>
            <w:id w:val="-926960829"/>
            <w:placeholder>
              <w:docPart w:val="3CFABBE159D944ED99DD435E240A3CAC"/>
            </w:placeholder>
            <w:showingPlcHdr/>
            <w:text/>
          </w:sdtPr>
          <w:sdtEndPr/>
          <w:sdtContent>
            <w:tc>
              <w:tcPr>
                <w:tcW w:w="5393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8879471" w14:textId="77777777" w:rsidR="00414D05" w:rsidRDefault="00414D05" w:rsidP="001B5E00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F31FF" w14:textId="3AD908B3" w:rsidR="00050EB5" w:rsidRDefault="00414D05" w:rsidP="00050EB5">
      <w:pPr>
        <w:pStyle w:val="Heading3"/>
      </w:pPr>
      <w:r>
        <w:t>Stream 2: Performance Adjustment Factor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050EB5" w:rsidRPr="006B7128" w14:paraId="4BB1A448" w14:textId="77777777" w:rsidTr="003B60C8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664DD216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3B60C8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4A476D27" w14:textId="6F99677B" w:rsidR="00050EB5" w:rsidRDefault="009B6FE3" w:rsidP="009B6FE3">
            <w:pPr>
              <w:pStyle w:val="TableNumeralsLeftAlignment"/>
            </w:pPr>
            <w:r>
              <w:t xml:space="preserve">IESO </w:t>
            </w:r>
            <w:r w:rsidR="00112FA3">
              <w:t xml:space="preserve">made some observations </w:t>
            </w:r>
            <w:r>
              <w:t xml:space="preserve">on </w:t>
            </w:r>
            <w:r w:rsidR="00112FA3">
              <w:t xml:space="preserve">the suggestions provided by the stakeholders on the </w:t>
            </w:r>
            <w:r>
              <w:t>design of the Performance Adjustment Factor mechanism.</w:t>
            </w:r>
            <w:r w:rsidR="00517914">
              <w:t xml:space="preserve"> Does the summary of the proposed PAF mechanism capture the intent of the stakeholder suggestion?</w:t>
            </w:r>
            <w:r>
              <w:t xml:space="preserve"> </w:t>
            </w:r>
          </w:p>
          <w:p w14:paraId="78F84029" w14:textId="05EE6FAF" w:rsidR="009B6FE3" w:rsidRPr="006B7128" w:rsidRDefault="009B6FE3" w:rsidP="00706166">
            <w:pPr>
              <w:pStyle w:val="TableNumeralsLeftAlignment"/>
            </w:pPr>
            <w:r>
              <w:br/>
              <w:t xml:space="preserve">Are there any other items of clarification that the IESO should address before finalizing the design? </w:t>
            </w: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6C25536" w14:textId="51D0386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A7BF4D" w14:textId="23DBEF7B" w:rsidR="00414D05" w:rsidRDefault="00414D05" w:rsidP="00414D05">
      <w:pPr>
        <w:pStyle w:val="Heading3"/>
      </w:pPr>
      <w:r>
        <w:lastRenderedPageBreak/>
        <w:t>Stream 2: Administrative Updates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050EB5" w:rsidRPr="006B7128" w14:paraId="2E25109F" w14:textId="77777777" w:rsidTr="003B60C8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282F1B3D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234C98E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B03F8B9" w14:textId="77777777" w:rsidTr="003B60C8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5EFB7AE7" w14:textId="70AE9666" w:rsidR="00050EB5" w:rsidRPr="006B7128" w:rsidRDefault="00414D05" w:rsidP="00081167">
            <w:pPr>
              <w:pStyle w:val="TableNumeralsLeftAlignment"/>
            </w:pPr>
            <w:r>
              <w:t>Are there any questions or concerns with the administrative updates being made to the participation framework for generator-backed import resources?</w:t>
            </w:r>
          </w:p>
        </w:tc>
        <w:sdt>
          <w:sdtPr>
            <w:id w:val="1836175199"/>
            <w:placeholder>
              <w:docPart w:val="0FECE77BD76A4FA797C5747BD60C4A4C"/>
            </w:placeholder>
            <w:showingPlcHdr/>
            <w:text/>
          </w:sdtPr>
          <w:sdtEndPr/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0A6D345" w14:textId="62AAAE4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B3CE7" w14:textId="77777777" w:rsidR="008A3763" w:rsidRDefault="008A3763" w:rsidP="00F83314">
      <w:r>
        <w:separator/>
      </w:r>
    </w:p>
    <w:p w14:paraId="6A5C2DCD" w14:textId="77777777" w:rsidR="008A3763" w:rsidRDefault="008A3763"/>
  </w:endnote>
  <w:endnote w:type="continuationSeparator" w:id="0">
    <w:p w14:paraId="1772C83C" w14:textId="77777777" w:rsidR="008A3763" w:rsidRDefault="008A3763" w:rsidP="00F83314">
      <w:r>
        <w:continuationSeparator/>
      </w:r>
    </w:p>
    <w:p w14:paraId="297852FB" w14:textId="77777777" w:rsidR="008A3763" w:rsidRDefault="008A3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82B7B3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5692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CFF92" w14:textId="1413BBB5" w:rsidR="00C6016F" w:rsidRDefault="003B60C8" w:rsidP="00871E07">
    <w:pPr>
      <w:pStyle w:val="Footer"/>
      <w:ind w:right="360"/>
    </w:pPr>
    <w:r>
      <w:t>2023 Capacity Auction Enhancements, 30/March/2023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0574492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5692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C93C" w14:textId="77777777" w:rsidR="008A3763" w:rsidRDefault="008A3763">
      <w:r>
        <w:separator/>
      </w:r>
    </w:p>
  </w:footnote>
  <w:footnote w:type="continuationSeparator" w:id="0">
    <w:p w14:paraId="774A0367" w14:textId="77777777" w:rsidR="008A3763" w:rsidRDefault="008A3763" w:rsidP="00F83314">
      <w:r>
        <w:continuationSeparator/>
      </w:r>
    </w:p>
    <w:p w14:paraId="6D7174A3" w14:textId="77777777" w:rsidR="008A3763" w:rsidRDefault="008A37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D84088A0"/>
    <w:lvl w:ilvl="0" w:tplc="FBE87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EE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ED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E6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7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B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4D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60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6A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12FA3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B60C8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14D05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E2651"/>
    <w:rsid w:val="004F115E"/>
    <w:rsid w:val="00502752"/>
    <w:rsid w:val="005066CE"/>
    <w:rsid w:val="00517914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06166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A3763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6FE3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92401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10F8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5692C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Capacity-Auction-Enhance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CE77BD76A4FA797C5747BD60C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CAB7-3602-4A47-A836-ACE6E2744550}"/>
      </w:docPartPr>
      <w:docPartBody>
        <w:p w:rsidR="000608F2" w:rsidRDefault="00CB5C67" w:rsidP="00CB5C67">
          <w:pPr>
            <w:pStyle w:val="0FECE77BD76A4FA797C5747BD60C4A4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D9310BB7F4CB4B3627DED5876C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11A1-1617-47D8-845E-AE7BC884EC89}"/>
      </w:docPartPr>
      <w:docPartBody>
        <w:p w:rsidR="009839E7" w:rsidRDefault="00310067" w:rsidP="00310067">
          <w:pPr>
            <w:pStyle w:val="8B4D9310BB7F4CB4B3627DED5876C70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3BF57273E436FBB0174CA3165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28B1-5C8A-41D5-8701-5BFF8756A58D}"/>
      </w:docPartPr>
      <w:docPartBody>
        <w:p w:rsidR="009839E7" w:rsidRDefault="00310067" w:rsidP="00310067">
          <w:pPr>
            <w:pStyle w:val="C7C3BF57273E436FBB0174CA3165020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F1580333C4F0292297BC7E027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465C3-AD00-4C41-9566-979F42DABB9E}"/>
      </w:docPartPr>
      <w:docPartBody>
        <w:p w:rsidR="009839E7" w:rsidRDefault="00310067" w:rsidP="00310067">
          <w:pPr>
            <w:pStyle w:val="B4DF1580333C4F0292297BC7E0277F2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3345A4BF84F2D81F5738906E1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0D6B3-E54A-413D-89F1-76767F988161}"/>
      </w:docPartPr>
      <w:docPartBody>
        <w:p w:rsidR="009839E7" w:rsidRDefault="00310067" w:rsidP="00310067">
          <w:pPr>
            <w:pStyle w:val="7793345A4BF84F2D81F5738906E1524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393CD13814C12885B136CE2660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42A7-334B-4EEA-AF1E-55E64AE524BA}"/>
      </w:docPartPr>
      <w:docPartBody>
        <w:p w:rsidR="009839E7" w:rsidRDefault="00310067" w:rsidP="00310067">
          <w:pPr>
            <w:pStyle w:val="D65393CD13814C12885B136CE266090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0EFEA9AE144C2A5B13ABB2E1E0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67D8-B850-4398-8D25-46F578CFF4F7}"/>
      </w:docPartPr>
      <w:docPartBody>
        <w:p w:rsidR="009839E7" w:rsidRDefault="00310067" w:rsidP="00310067">
          <w:pPr>
            <w:pStyle w:val="FBF0EFEA9AE144C2A5B13ABB2E1E06F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7B37E60D44576ADD52549892C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06DC-1520-4128-A511-AF309D6B6093}"/>
      </w:docPartPr>
      <w:docPartBody>
        <w:p w:rsidR="009839E7" w:rsidRDefault="00310067" w:rsidP="00310067">
          <w:pPr>
            <w:pStyle w:val="48E7B37E60D44576ADD52549892C3672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ABBE159D944ED99DD435E240A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0E4B-7020-4187-A5B0-78C326F1345B}"/>
      </w:docPartPr>
      <w:docPartBody>
        <w:p w:rsidR="009839E7" w:rsidRDefault="00310067" w:rsidP="00310067">
          <w:pPr>
            <w:pStyle w:val="3CFABBE159D944ED99DD435E240A3CA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310067"/>
    <w:rsid w:val="00525F43"/>
    <w:rsid w:val="005A72EC"/>
    <w:rsid w:val="00731377"/>
    <w:rsid w:val="00966CA8"/>
    <w:rsid w:val="009839E7"/>
    <w:rsid w:val="00996988"/>
    <w:rsid w:val="00B513C0"/>
    <w:rsid w:val="00CB5C67"/>
    <w:rsid w:val="00F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8B4D9310BB7F4CB4B3627DED5876C70D">
    <w:name w:val="8B4D9310BB7F4CB4B3627DED5876C70D"/>
    <w:rsid w:val="00310067"/>
  </w:style>
  <w:style w:type="paragraph" w:customStyle="1" w:styleId="C7C3BF57273E436FBB0174CA3165020D">
    <w:name w:val="C7C3BF57273E436FBB0174CA3165020D"/>
    <w:rsid w:val="00310067"/>
  </w:style>
  <w:style w:type="paragraph" w:customStyle="1" w:styleId="B4DF1580333C4F0292297BC7E0277F2F">
    <w:name w:val="B4DF1580333C4F0292297BC7E0277F2F"/>
    <w:rsid w:val="00310067"/>
  </w:style>
  <w:style w:type="paragraph" w:customStyle="1" w:styleId="7793345A4BF84F2D81F5738906E15244">
    <w:name w:val="7793345A4BF84F2D81F5738906E15244"/>
    <w:rsid w:val="00310067"/>
  </w:style>
  <w:style w:type="paragraph" w:customStyle="1" w:styleId="0507C6E19AEE4ACCB20E64DB9EF36737">
    <w:name w:val="0507C6E19AEE4ACCB20E64DB9EF36737"/>
    <w:rsid w:val="00310067"/>
  </w:style>
  <w:style w:type="paragraph" w:customStyle="1" w:styleId="D65393CD13814C12885B136CE266090C">
    <w:name w:val="D65393CD13814C12885B136CE266090C"/>
    <w:rsid w:val="00310067"/>
  </w:style>
  <w:style w:type="paragraph" w:customStyle="1" w:styleId="FBF0EFEA9AE144C2A5B13ABB2E1E06FD">
    <w:name w:val="FBF0EFEA9AE144C2A5B13ABB2E1E06FD"/>
    <w:rsid w:val="00310067"/>
  </w:style>
  <w:style w:type="paragraph" w:customStyle="1" w:styleId="48E7B37E60D44576ADD52549892C3672">
    <w:name w:val="48E7B37E60D44576ADD52549892C3672"/>
    <w:rsid w:val="00310067"/>
  </w:style>
  <w:style w:type="paragraph" w:customStyle="1" w:styleId="3CFABBE159D944ED99DD435E240A3CAC">
    <w:name w:val="3CFABBE159D944ED99DD435E240A3CAC"/>
    <w:rsid w:val="00310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e8cdfa92-5fbc-415b-802d-96b25a68403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753399-8D7B-46B2-8680-279AF132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Auction Enhancements – March 30, 2023 Feedback Form</dc:title>
  <dc:subject/>
  <dc:creator>Independent Electricity System Operator (IESO)</dc:creator>
  <cp:keywords/>
  <dc:description/>
  <cp:lastModifiedBy>Daniela Drazic</cp:lastModifiedBy>
  <cp:revision>3</cp:revision>
  <cp:lastPrinted>2020-04-17T18:00:00Z</cp:lastPrinted>
  <dcterms:created xsi:type="dcterms:W3CDTF">2023-03-22T19:55:00Z</dcterms:created>
  <dcterms:modified xsi:type="dcterms:W3CDTF">2023-03-22T22:38:00Z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