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53DECD7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535B9E" w:rsidRPr="006F582B" w:rsidRDefault="00535B9E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535B9E" w:rsidRPr="006F582B" w:rsidRDefault="00535B9E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C7A8459" w:rsidR="006F582B" w:rsidRDefault="32649693" w:rsidP="006F582B">
      <w:pPr>
        <w:pStyle w:val="Heading2"/>
      </w:pPr>
      <w:r>
        <w:t>Capacity Auction</w:t>
      </w:r>
      <w:r w:rsidR="00B4209E">
        <w:t xml:space="preserve"> Enhancements</w:t>
      </w:r>
      <w:r>
        <w:t xml:space="preserve"> </w:t>
      </w:r>
      <w:r w:rsidR="007A1A30">
        <w:t xml:space="preserve">– </w:t>
      </w:r>
      <w:r w:rsidR="001B5153">
        <w:t>November 22</w:t>
      </w:r>
      <w:r w:rsidR="007A1A30">
        <w:t xml:space="preserve">, </w:t>
      </w:r>
      <w:r w:rsidR="00861F85">
        <w:t>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432486A7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B4209E" w:rsidRPr="00B4209E">
          <w:rPr>
            <w:rStyle w:val="Hyperlink"/>
            <w:noProof w:val="0"/>
            <w:lang w:val="en-US" w:eastAsia="en-US"/>
            <w14:ligatures w14:val="standard"/>
          </w:rPr>
          <w:t>Capacity Auction Enhancements</w:t>
        </w:r>
      </w:hyperlink>
      <w:r w:rsidR="00B4209E">
        <w:rPr>
          <w:lang w:val="en-US"/>
        </w:rPr>
        <w:t xml:space="preserve"> web page</w:t>
      </w:r>
      <w:r w:rsidRPr="00740728">
        <w:rPr>
          <w:lang w:val="en-US"/>
        </w:rPr>
        <w:t xml:space="preserve"> unless otherwise requested by the sender.</w:t>
      </w:r>
    </w:p>
    <w:p w14:paraId="72EFAA0A" w14:textId="45AB9932" w:rsidR="00555588" w:rsidRPr="00555588" w:rsidRDefault="00555588" w:rsidP="00CE0122">
      <w:pPr>
        <w:pStyle w:val="BodyText"/>
        <w:rPr>
          <w:rFonts w:eastAsiaTheme="minorEastAsia" w:cs="Tahoma"/>
          <w:lang w:val="en-US"/>
        </w:rPr>
      </w:pPr>
      <w:r w:rsidRPr="41D84E87">
        <w:rPr>
          <w:rFonts w:eastAsiaTheme="minorEastAsia" w:cs="Tahoma"/>
          <w:lang w:val="en-US"/>
        </w:rPr>
        <w:t xml:space="preserve">Following the </w:t>
      </w:r>
      <w:r w:rsidR="001B5153" w:rsidRPr="41D84E87">
        <w:rPr>
          <w:rFonts w:eastAsiaTheme="minorEastAsia" w:cs="Tahoma"/>
          <w:lang w:val="en-US"/>
        </w:rPr>
        <w:t>November 22</w:t>
      </w:r>
      <w:r w:rsidR="00DD2E46" w:rsidRPr="41D84E87">
        <w:rPr>
          <w:rFonts w:eastAsiaTheme="minorEastAsia" w:cs="Tahoma"/>
          <w:lang w:val="en-US"/>
        </w:rPr>
        <w:t>, 2023,</w:t>
      </w:r>
      <w:r w:rsidRPr="41D84E87">
        <w:rPr>
          <w:rFonts w:eastAsiaTheme="minorEastAsia" w:cs="Tahoma"/>
          <w:lang w:val="en-US"/>
        </w:rPr>
        <w:t xml:space="preserve"> engagement webinar, the Independent Electricity System Operator (IESO) is seeking f</w:t>
      </w:r>
      <w:r w:rsidR="00DD2E46" w:rsidRPr="41D84E87">
        <w:rPr>
          <w:rFonts w:eastAsiaTheme="minorEastAsia" w:cs="Tahoma"/>
          <w:lang w:val="en-US"/>
        </w:rPr>
        <w:t xml:space="preserve">eedback </w:t>
      </w:r>
      <w:r w:rsidRPr="41D84E87">
        <w:rPr>
          <w:rFonts w:eastAsiaTheme="minorEastAsia" w:cs="Tahoma"/>
          <w:lang w:val="en-US"/>
        </w:rPr>
        <w:t xml:space="preserve">on </w:t>
      </w:r>
      <w:r w:rsidR="001B5153" w:rsidRPr="41D84E87">
        <w:rPr>
          <w:rFonts w:eastAsiaTheme="minorEastAsia" w:cs="Tahoma"/>
          <w:lang w:val="en-US"/>
        </w:rPr>
        <w:t>performance results and key observations from the summer</w:t>
      </w:r>
      <w:r w:rsidR="52772245" w:rsidRPr="41D84E87">
        <w:rPr>
          <w:rFonts w:eastAsiaTheme="minorEastAsia" w:cs="Tahoma"/>
          <w:lang w:val="en-US"/>
        </w:rPr>
        <w:t xml:space="preserve"> activations</w:t>
      </w:r>
      <w:r w:rsidR="00C42322" w:rsidRPr="41D84E87">
        <w:rPr>
          <w:rFonts w:eastAsiaTheme="minorEastAsia" w:cs="Tahoma"/>
          <w:lang w:val="en-US"/>
        </w:rPr>
        <w:t>,</w:t>
      </w:r>
      <w:r w:rsidR="006E01E4" w:rsidRPr="41D84E87">
        <w:rPr>
          <w:rFonts w:eastAsiaTheme="minorEastAsia" w:cs="Tahoma"/>
          <w:lang w:val="en-US"/>
        </w:rPr>
        <w:t xml:space="preserve"> and </w:t>
      </w:r>
      <w:r w:rsidR="00316651" w:rsidRPr="41D84E87">
        <w:rPr>
          <w:rFonts w:eastAsiaTheme="minorEastAsia" w:cs="Tahoma"/>
          <w:lang w:val="en-US"/>
        </w:rPr>
        <w:t>the technical session discussion</w:t>
      </w:r>
      <w:r w:rsidRPr="41D84E87">
        <w:rPr>
          <w:rFonts w:eastAsiaTheme="minorEastAsia" w:cs="Tahoma"/>
          <w:lang w:val="en-US"/>
        </w:rPr>
        <w:t xml:space="preserve">. The webinar presentation and recording can be accessed from the </w:t>
      </w:r>
      <w:hyperlink r:id="rId12">
        <w:r w:rsidR="00CA0727" w:rsidRPr="41D84E87">
          <w:rPr>
            <w:rStyle w:val="Hyperlink"/>
            <w:lang w:val="en-US"/>
          </w:rPr>
          <w:t>engagement web</w:t>
        </w:r>
        <w:r w:rsidRPr="41D84E87">
          <w:rPr>
            <w:rStyle w:val="Hyperlink"/>
            <w:lang w:val="en-US"/>
          </w:rPr>
          <w:t>page</w:t>
        </w:r>
      </w:hyperlink>
      <w:r w:rsidRPr="41D84E87">
        <w:rPr>
          <w:rFonts w:eastAsiaTheme="minorEastAsia" w:cs="Tahoma"/>
          <w:lang w:val="en-US"/>
        </w:rPr>
        <w:t>.</w:t>
      </w:r>
    </w:p>
    <w:p w14:paraId="5C15A2B6" w14:textId="1789CBC0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3" w:history="1">
        <w:r w:rsidR="00B4209E" w:rsidRPr="00B4209E">
          <w:rPr>
            <w:rStyle w:val="Hyperlink"/>
          </w:rPr>
          <w:t>engagement@ieso.ca</w:t>
        </w:r>
      </w:hyperlink>
      <w:r w:rsidR="00B4209E" w:rsidRPr="00B4209E">
        <w:rPr>
          <w:rStyle w:val="Hyperlink"/>
          <w:u w:val="none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1B5153">
        <w:rPr>
          <w:rFonts w:eastAsiaTheme="minorEastAsia" w:cs="Tahoma"/>
          <w:b/>
          <w:color w:val="auto"/>
          <w:szCs w:val="22"/>
          <w:lang w:val="en-US"/>
        </w:rPr>
        <w:t>December 8</w:t>
      </w:r>
      <w:r w:rsidR="0090718A" w:rsidRPr="0090718A">
        <w:rPr>
          <w:rFonts w:eastAsiaTheme="minorEastAsia" w:cs="Tahoma"/>
          <w:b/>
          <w:color w:val="auto"/>
          <w:szCs w:val="22"/>
          <w:lang w:val="en-US"/>
        </w:rPr>
        <w:t>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239B0BFA" w14:textId="4C6D45DD" w:rsidR="006E01E4" w:rsidRDefault="4A4211D8" w:rsidP="00EF1F49">
      <w:pPr>
        <w:pStyle w:val="Heading3"/>
      </w:pPr>
      <w:bookmarkStart w:id="0" w:name="_Toc35868671"/>
      <w:r>
        <w:lastRenderedPageBreak/>
        <w:t>1</w:t>
      </w:r>
      <w:r w:rsidR="007B345E">
        <w:t>)</w:t>
      </w:r>
      <w:r w:rsidR="00015BBC">
        <w:t xml:space="preserve"> </w:t>
      </w:r>
      <w:r w:rsidR="001B5153">
        <w:t>Performance Results and Key Observations from the Summer</w:t>
      </w:r>
      <w:r w:rsidR="414B46B6">
        <w:t xml:space="preserve"> Activations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6E01E4" w:rsidRPr="006B7128" w14:paraId="5D4FFF0D" w14:textId="77777777" w:rsidTr="2CC30458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1D6D061" w14:textId="4B53AA00" w:rsidR="006E01E4" w:rsidRPr="003A3754" w:rsidRDefault="001B5153" w:rsidP="00F143D2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904EEF5" w14:textId="77777777" w:rsidR="006E01E4" w:rsidRPr="006B7128" w:rsidRDefault="006E01E4" w:rsidP="00F143D2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6E01E4" w:rsidRPr="006D7540" w14:paraId="1B1D88BC" w14:textId="77777777" w:rsidTr="2CC30458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0F86B97" w14:textId="1B86D599" w:rsidR="006E01E4" w:rsidRPr="006B7128" w:rsidRDefault="00316651" w:rsidP="00316651">
            <w:r>
              <w:t>Do</w:t>
            </w:r>
            <w:r w:rsidR="001B5153">
              <w:t xml:space="preserve"> </w:t>
            </w:r>
            <w:r>
              <w:t>stakeholders</w:t>
            </w:r>
            <w:r w:rsidR="001B5153">
              <w:t xml:space="preserve"> have any questions</w:t>
            </w:r>
            <w:r w:rsidR="687B648A">
              <w:t xml:space="preserve"> or comments</w:t>
            </w:r>
            <w:r w:rsidR="001B5153">
              <w:t xml:space="preserve"> about the performance result</w:t>
            </w:r>
            <w:r>
              <w:t>s or key observations presented?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5445FD7" w14:textId="77777777" w:rsidR="006E01E4" w:rsidRPr="006D7540" w:rsidRDefault="006E01E4" w:rsidP="00F143D2">
            <w:pPr>
              <w:pStyle w:val="TableNumeralsLeftAlignment"/>
            </w:pPr>
          </w:p>
        </w:tc>
      </w:tr>
    </w:tbl>
    <w:p w14:paraId="6F39D08F" w14:textId="70157795" w:rsidR="00811642" w:rsidRDefault="00811642" w:rsidP="00811642">
      <w:pPr>
        <w:pStyle w:val="Heading3"/>
      </w:pPr>
      <w:bookmarkStart w:id="1" w:name="_GoBack"/>
      <w:bookmarkEnd w:id="1"/>
      <w:r>
        <w:t>2</w:t>
      </w:r>
      <w:r w:rsidRPr="00EA38E3">
        <w:t>)</w:t>
      </w:r>
      <w:r>
        <w:t xml:space="preserve"> Additional Questions from the IESO</w:t>
      </w:r>
    </w:p>
    <w:p w14:paraId="1802ECEC" w14:textId="77777777" w:rsidR="00811642" w:rsidRPr="004200EA" w:rsidRDefault="00811642" w:rsidP="00811642">
      <w:pPr>
        <w:pStyle w:val="Heading4"/>
      </w:pPr>
      <w:r>
        <w:t>D) Capacity Auction testing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811642" w:rsidRPr="006B7128" w14:paraId="6AA6059D" w14:textId="77777777" w:rsidTr="0050418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4347CDA9" w14:textId="77777777" w:rsidR="00811642" w:rsidRPr="003A3754" w:rsidRDefault="00811642" w:rsidP="00817441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4A9A184" w14:textId="77777777" w:rsidR="00811642" w:rsidRPr="006B7128" w:rsidRDefault="00811642" w:rsidP="00817441">
            <w:pPr>
              <w:pStyle w:val="TableHeaderRightAlignment"/>
              <w:framePr w:wrap="around"/>
            </w:pPr>
            <w:r>
              <w:t>Stakeholder Response</w:t>
            </w:r>
          </w:p>
        </w:tc>
      </w:tr>
      <w:tr w:rsidR="00811642" w:rsidRPr="006B7128" w14:paraId="44A22983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E324EDE" w14:textId="77777777" w:rsidR="00811642" w:rsidRPr="006B7128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EA38E3">
              <w:rPr>
                <w:rFonts w:eastAsia="Tahoma" w:cs="Tahoma"/>
                <w:color w:val="000000" w:themeColor="text1"/>
                <w:szCs w:val="22"/>
              </w:rPr>
              <w:t>How are the c</w:t>
            </w:r>
            <w:r>
              <w:rPr>
                <w:rFonts w:eastAsia="Tahoma" w:cs="Tahoma"/>
                <w:color w:val="000000" w:themeColor="text1"/>
                <w:szCs w:val="22"/>
              </w:rPr>
              <w:t xml:space="preserve">osts of responding to dispatch </w:t>
            </w:r>
            <w:r w:rsidRPr="00EA38E3">
              <w:rPr>
                <w:rFonts w:eastAsia="Tahoma" w:cs="Tahoma"/>
                <w:color w:val="000000" w:themeColor="text1"/>
                <w:szCs w:val="22"/>
              </w:rPr>
              <w:t>tests worked into your auction offers?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B089DFF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  <w:tr w:rsidR="00811642" w:rsidRPr="006B7128" w14:paraId="38DE8044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C1F5365" w14:textId="77777777" w:rsidR="00811642" w:rsidRPr="00EA38E3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EA38E3">
              <w:rPr>
                <w:rFonts w:eastAsia="Tahoma" w:cs="Tahoma"/>
                <w:color w:val="000000" w:themeColor="text1"/>
                <w:szCs w:val="22"/>
              </w:rPr>
              <w:t>Would cost savin</w:t>
            </w:r>
            <w:r>
              <w:rPr>
                <w:rFonts w:eastAsia="Tahoma" w:cs="Tahoma"/>
                <w:color w:val="000000" w:themeColor="text1"/>
                <w:szCs w:val="22"/>
              </w:rPr>
              <w:t xml:space="preserve">gs on testing directly lead to </w:t>
            </w:r>
            <w:r w:rsidRPr="00EA38E3">
              <w:rPr>
                <w:rFonts w:eastAsia="Tahoma" w:cs="Tahoma"/>
                <w:color w:val="000000" w:themeColor="text1"/>
                <w:szCs w:val="22"/>
              </w:rPr>
              <w:t>lower offer prices?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8CF0422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  <w:tr w:rsidR="00811642" w:rsidRPr="006B7128" w14:paraId="22C1F303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AEB8A8B" w14:textId="77777777" w:rsidR="00811642" w:rsidRPr="00EA38E3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EA38E3">
              <w:rPr>
                <w:rFonts w:eastAsia="Tahoma" w:cs="Tahoma"/>
                <w:color w:val="000000" w:themeColor="text1"/>
                <w:szCs w:val="22"/>
              </w:rPr>
              <w:t>Wha</w:t>
            </w:r>
            <w:r>
              <w:rPr>
                <w:rFonts w:eastAsia="Tahoma" w:cs="Tahoma"/>
                <w:color w:val="000000" w:themeColor="text1"/>
                <w:szCs w:val="22"/>
              </w:rPr>
              <w:t xml:space="preserve">t other mechanisms could ensure </w:t>
            </w:r>
            <w:r w:rsidRPr="00EA38E3">
              <w:rPr>
                <w:rFonts w:eastAsia="Tahoma" w:cs="Tahoma"/>
                <w:color w:val="000000" w:themeColor="text1"/>
                <w:szCs w:val="22"/>
              </w:rPr>
              <w:t>compliance with IESO dispatch instructions?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92EC82B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</w:tbl>
    <w:p w14:paraId="05948852" w14:textId="77777777" w:rsidR="00811642" w:rsidRPr="004200EA" w:rsidRDefault="00811642" w:rsidP="00811642">
      <w:pPr>
        <w:pStyle w:val="Heading4"/>
      </w:pPr>
      <w:r>
        <w:t>H) More flexibility to manage commitments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811642" w:rsidRPr="006B7128" w14:paraId="1B9B7FD3" w14:textId="77777777" w:rsidTr="0050418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E3E572E" w14:textId="77777777" w:rsidR="00811642" w:rsidRPr="003A3754" w:rsidRDefault="00811642" w:rsidP="00817441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8A34BB1" w14:textId="77777777" w:rsidR="00811642" w:rsidRPr="006B7128" w:rsidRDefault="00811642" w:rsidP="00817441">
            <w:pPr>
              <w:pStyle w:val="TableHeaderRightAlignment"/>
              <w:framePr w:wrap="around"/>
            </w:pPr>
            <w:r>
              <w:t>Stakeholder Response</w:t>
            </w:r>
          </w:p>
        </w:tc>
      </w:tr>
      <w:tr w:rsidR="00811642" w:rsidRPr="006B7128" w14:paraId="6C9C828B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7836FCF" w14:textId="77777777" w:rsidR="00811642" w:rsidRPr="006B7128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232C25">
              <w:rPr>
                <w:rFonts w:eastAsia="Tahoma" w:cs="Tahoma"/>
                <w:color w:val="000000" w:themeColor="text1"/>
                <w:szCs w:val="22"/>
              </w:rPr>
              <w:t>Is there any additional information that the IESO can provide to help facilitate bi-lateral transfers?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8652DD8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  <w:tr w:rsidR="00811642" w:rsidRPr="006B7128" w14:paraId="3527F212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B490ED9" w14:textId="77777777" w:rsidR="00811642" w:rsidRPr="00EA38E3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232C25">
              <w:rPr>
                <w:rFonts w:eastAsia="Tahoma" w:cs="Tahoma"/>
                <w:color w:val="000000" w:themeColor="text1"/>
                <w:szCs w:val="22"/>
              </w:rPr>
              <w:t>Can participants provide more details on their typical timelines for firming up obligation amounts, whether it be in the forward period or during the obligation period, if it were allowed?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CCB7A84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</w:tbl>
    <w:p w14:paraId="587E6764" w14:textId="77777777" w:rsidR="00811642" w:rsidRPr="004200EA" w:rsidRDefault="00811642" w:rsidP="00811642">
      <w:pPr>
        <w:pStyle w:val="Heading4"/>
      </w:pPr>
      <w:r>
        <w:t>I) Multiple HDR resources per zone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811642" w:rsidRPr="006B7128" w14:paraId="6775AAF0" w14:textId="77777777" w:rsidTr="0050418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45152C7" w14:textId="77777777" w:rsidR="00811642" w:rsidRPr="003A3754" w:rsidRDefault="00811642" w:rsidP="00817441">
            <w:pPr>
              <w:pStyle w:val="TableHeaderLeftAlignment"/>
            </w:pPr>
            <w:r>
              <w:lastRenderedPageBreak/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EE161E7" w14:textId="77777777" w:rsidR="00811642" w:rsidRPr="006B7128" w:rsidRDefault="00811642" w:rsidP="00817441">
            <w:pPr>
              <w:pStyle w:val="TableHeaderRightAlignment"/>
              <w:framePr w:wrap="around"/>
            </w:pPr>
            <w:r>
              <w:t>Stakeholder Response</w:t>
            </w:r>
          </w:p>
        </w:tc>
      </w:tr>
      <w:tr w:rsidR="00811642" w:rsidRPr="006B7128" w14:paraId="348A48D4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82BB918" w14:textId="77777777" w:rsidR="00811642" w:rsidRPr="00E95862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E95862">
              <w:rPr>
                <w:rFonts w:eastAsia="Tahoma" w:cs="Tahoma"/>
                <w:color w:val="000000" w:themeColor="text1"/>
                <w:szCs w:val="22"/>
              </w:rPr>
              <w:t xml:space="preserve">We would like to understand how aggregators would segment their contributors if multiple HDR resources in one zone were enabled. </w:t>
            </w:r>
            <w:r>
              <w:rPr>
                <w:rFonts w:eastAsia="Tahoma" w:cs="Tahoma"/>
                <w:color w:val="000000" w:themeColor="text1"/>
                <w:szCs w:val="22"/>
              </w:rPr>
              <w:t>How would aggregators plan to segment their contributors?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688385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  <w:tr w:rsidR="00811642" w:rsidRPr="006B7128" w14:paraId="6E5AFAF4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818B9BE" w14:textId="77777777" w:rsidR="00811642" w:rsidRPr="00EA38E3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F712CD">
              <w:rPr>
                <w:rFonts w:eastAsia="Tahoma" w:cs="Tahoma"/>
                <w:color w:val="000000" w:themeColor="text1"/>
                <w:szCs w:val="22"/>
              </w:rPr>
              <w:t>How would this improve resource performance and reliability?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79A87DD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  <w:tr w:rsidR="00811642" w:rsidRPr="006B7128" w14:paraId="444A04FF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35A6265" w14:textId="77777777" w:rsidR="00811642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F712CD">
              <w:rPr>
                <w:rFonts w:eastAsia="Tahoma" w:cs="Tahoma"/>
                <w:color w:val="000000" w:themeColor="text1"/>
                <w:szCs w:val="22"/>
              </w:rPr>
              <w:t>Why are inaccuracies introduced when different types/sizes of resources are combined under one resource?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D7D8AFE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</w:tbl>
    <w:p w14:paraId="66AE727E" w14:textId="77777777" w:rsidR="00811642" w:rsidRPr="004200EA" w:rsidRDefault="00811642" w:rsidP="00811642">
      <w:pPr>
        <w:pStyle w:val="Heading4"/>
      </w:pPr>
      <w:r>
        <w:t>N) Avoided line losses credit in demand response capacity qualification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811642" w:rsidRPr="006B7128" w14:paraId="0017F153" w14:textId="77777777" w:rsidTr="0050418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4D6B2D08" w14:textId="77777777" w:rsidR="00811642" w:rsidRPr="003A3754" w:rsidRDefault="00811642" w:rsidP="00817441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3AB5CE8" w14:textId="77777777" w:rsidR="00811642" w:rsidRPr="006B7128" w:rsidRDefault="00811642" w:rsidP="00817441">
            <w:pPr>
              <w:pStyle w:val="TableHeaderRightAlignment"/>
              <w:framePr w:wrap="around"/>
            </w:pPr>
            <w:r>
              <w:t>Stakeholder Response</w:t>
            </w:r>
          </w:p>
        </w:tc>
      </w:tr>
      <w:tr w:rsidR="00811642" w:rsidRPr="006B7128" w14:paraId="266F00BB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191A3BE" w14:textId="77777777" w:rsidR="00811642" w:rsidRPr="00E95862" w:rsidRDefault="00811642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44636F">
              <w:rPr>
                <w:rFonts w:eastAsia="Tahoma" w:cs="Tahoma"/>
                <w:color w:val="000000" w:themeColor="text1"/>
                <w:szCs w:val="22"/>
              </w:rPr>
              <w:t>What is the rationale for including an avoided line loss factor in capacity qualification if they are only achieved when demand response is activated?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B437868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</w:tbl>
    <w:p w14:paraId="4C9786B9" w14:textId="6C77A03B" w:rsidR="00DB2038" w:rsidRDefault="00811642" w:rsidP="00811642">
      <w:pPr>
        <w:pStyle w:val="Heading4"/>
      </w:pPr>
      <w:r>
        <w:t>Other Questions/Comments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DB2038" w:rsidRPr="006B7128" w14:paraId="43976FB2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C1835CE" w14:textId="77777777" w:rsidR="00DB2038" w:rsidRPr="003A3754" w:rsidRDefault="00DB2038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7D50E6D" w14:textId="77777777" w:rsidR="00DB2038" w:rsidRPr="006B7128" w:rsidRDefault="00DB2038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DB2038" w:rsidRPr="006D7540" w14:paraId="0418330B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3A4E27F" w14:textId="2158DAFE" w:rsidR="00DB2038" w:rsidRPr="00237525" w:rsidRDefault="00237525" w:rsidP="00316651">
            <w:pPr>
              <w:rPr>
                <w:highlight w:val="yellow"/>
              </w:rPr>
            </w:pPr>
            <w:r>
              <w:t>Do stakeholders have</w:t>
            </w:r>
            <w:r w:rsidRPr="00237525">
              <w:t xml:space="preserve"> any </w:t>
            </w:r>
            <w:r w:rsidR="00316651">
              <w:t>further questions or comments regarding the potential enhancements presented?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791EC05" w14:textId="77777777" w:rsidR="00DB2038" w:rsidRPr="006D7540" w:rsidRDefault="00DB2038" w:rsidP="000F6CA9">
            <w:pPr>
              <w:pStyle w:val="TableNumeralsLeftAlignment"/>
            </w:pPr>
          </w:p>
        </w:tc>
      </w:tr>
    </w:tbl>
    <w:p w14:paraId="3BD88D50" w14:textId="3AFF16AE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E3EF9" w14:textId="77777777" w:rsidR="005E3D79" w:rsidRDefault="005E3D79" w:rsidP="00F83314">
      <w:r>
        <w:separator/>
      </w:r>
    </w:p>
    <w:p w14:paraId="6E22A4FB" w14:textId="77777777" w:rsidR="005E3D79" w:rsidRDefault="005E3D79"/>
  </w:endnote>
  <w:endnote w:type="continuationSeparator" w:id="0">
    <w:p w14:paraId="64649F21" w14:textId="77777777" w:rsidR="005E3D79" w:rsidRDefault="005E3D79" w:rsidP="00F83314">
      <w:r>
        <w:continuationSeparator/>
      </w:r>
    </w:p>
    <w:p w14:paraId="03399E57" w14:textId="77777777" w:rsidR="005E3D79" w:rsidRDefault="005E3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1BB5B1B" w:rsidR="00535B9E" w:rsidRDefault="00535B9E" w:rsidP="00535B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63F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020D21F7" w:rsidR="00535B9E" w:rsidRDefault="00535B9E" w:rsidP="00871E07">
    <w:pPr>
      <w:pStyle w:val="Footer"/>
      <w:ind w:right="360"/>
    </w:pPr>
    <w:r>
      <w:t>C</w:t>
    </w:r>
    <w:r w:rsidR="000D2476">
      <w:t>apacity Auction En</w:t>
    </w:r>
    <w:r w:rsidR="00CB63F6">
      <w:t>hancements</w:t>
    </w:r>
    <w:r w:rsidR="000D2476">
      <w:t>, 22</w:t>
    </w:r>
    <w:r>
      <w:t>/</w:t>
    </w:r>
    <w:r w:rsidR="000D2476">
      <w:t>November</w:t>
    </w:r>
    <w: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9B59591" w:rsidR="00535B9E" w:rsidRDefault="00535B9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CB63F6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97DEB" w14:textId="77777777" w:rsidR="005E3D79" w:rsidRDefault="005E3D79">
      <w:r>
        <w:separator/>
      </w:r>
    </w:p>
  </w:footnote>
  <w:footnote w:type="continuationSeparator" w:id="0">
    <w:p w14:paraId="5DDE2FCB" w14:textId="77777777" w:rsidR="005E3D79" w:rsidRDefault="005E3D79" w:rsidP="00F83314">
      <w:r>
        <w:continuationSeparator/>
      </w:r>
    </w:p>
    <w:p w14:paraId="2FDC6FAA" w14:textId="77777777" w:rsidR="005E3D79" w:rsidRDefault="005E3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CF663C"/>
    <w:multiLevelType w:val="hybridMultilevel"/>
    <w:tmpl w:val="A8DC945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7C43EA"/>
    <w:multiLevelType w:val="hybridMultilevel"/>
    <w:tmpl w:val="CE4272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0A22"/>
    <w:multiLevelType w:val="hybridMultilevel"/>
    <w:tmpl w:val="94785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5480F"/>
    <w:multiLevelType w:val="hybridMultilevel"/>
    <w:tmpl w:val="CCF212C0"/>
    <w:lvl w:ilvl="0" w:tplc="4A5C3B6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37"/>
  </w:num>
  <w:num w:numId="12">
    <w:abstractNumId w:val="17"/>
  </w:num>
  <w:num w:numId="13">
    <w:abstractNumId w:val="23"/>
  </w:num>
  <w:num w:numId="14">
    <w:abstractNumId w:val="25"/>
  </w:num>
  <w:num w:numId="15">
    <w:abstractNumId w:val="22"/>
  </w:num>
  <w:num w:numId="16">
    <w:abstractNumId w:val="28"/>
  </w:num>
  <w:num w:numId="17">
    <w:abstractNumId w:val="13"/>
  </w:num>
  <w:num w:numId="18">
    <w:abstractNumId w:val="30"/>
  </w:num>
  <w:num w:numId="19">
    <w:abstractNumId w:val="24"/>
  </w:num>
  <w:num w:numId="20">
    <w:abstractNumId w:val="31"/>
  </w:num>
  <w:num w:numId="21">
    <w:abstractNumId w:val="29"/>
  </w:num>
  <w:num w:numId="22">
    <w:abstractNumId w:val="34"/>
  </w:num>
  <w:num w:numId="23">
    <w:abstractNumId w:val="19"/>
  </w:num>
  <w:num w:numId="24">
    <w:abstractNumId w:val="21"/>
  </w:num>
  <w:num w:numId="25">
    <w:abstractNumId w:val="36"/>
  </w:num>
  <w:num w:numId="26">
    <w:abstractNumId w:val="16"/>
  </w:num>
  <w:num w:numId="27">
    <w:abstractNumId w:val="38"/>
  </w:num>
  <w:num w:numId="28">
    <w:abstractNumId w:val="20"/>
  </w:num>
  <w:num w:numId="29">
    <w:abstractNumId w:val="35"/>
  </w:num>
  <w:num w:numId="30">
    <w:abstractNumId w:val="18"/>
  </w:num>
  <w:num w:numId="31">
    <w:abstractNumId w:val="26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2"/>
  </w:num>
  <w:num w:numId="39">
    <w:abstractNumId w:val="11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5BBC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1C6F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86880"/>
    <w:rsid w:val="00092705"/>
    <w:rsid w:val="000965B7"/>
    <w:rsid w:val="000B0E48"/>
    <w:rsid w:val="000B0F9D"/>
    <w:rsid w:val="000B6A46"/>
    <w:rsid w:val="000C06F7"/>
    <w:rsid w:val="000C382A"/>
    <w:rsid w:val="000C4332"/>
    <w:rsid w:val="000D2476"/>
    <w:rsid w:val="000F12F2"/>
    <w:rsid w:val="000F55DA"/>
    <w:rsid w:val="00122D98"/>
    <w:rsid w:val="00123B6F"/>
    <w:rsid w:val="00134223"/>
    <w:rsid w:val="0015096B"/>
    <w:rsid w:val="00152614"/>
    <w:rsid w:val="00161285"/>
    <w:rsid w:val="00164724"/>
    <w:rsid w:val="001708DC"/>
    <w:rsid w:val="00180C5F"/>
    <w:rsid w:val="00191D1F"/>
    <w:rsid w:val="00197EE4"/>
    <w:rsid w:val="001B31FB"/>
    <w:rsid w:val="001B5068"/>
    <w:rsid w:val="001B5153"/>
    <w:rsid w:val="001B562C"/>
    <w:rsid w:val="001C0E0B"/>
    <w:rsid w:val="001C122B"/>
    <w:rsid w:val="001E501C"/>
    <w:rsid w:val="001F21B1"/>
    <w:rsid w:val="002040D1"/>
    <w:rsid w:val="00206BC2"/>
    <w:rsid w:val="00206F85"/>
    <w:rsid w:val="002206A7"/>
    <w:rsid w:val="002273F3"/>
    <w:rsid w:val="00230E09"/>
    <w:rsid w:val="00232C25"/>
    <w:rsid w:val="00235EFD"/>
    <w:rsid w:val="00237525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1A7A"/>
    <w:rsid w:val="002D3238"/>
    <w:rsid w:val="002D4EB9"/>
    <w:rsid w:val="002E05B4"/>
    <w:rsid w:val="002E4651"/>
    <w:rsid w:val="002F3357"/>
    <w:rsid w:val="00306409"/>
    <w:rsid w:val="00306932"/>
    <w:rsid w:val="00313BFA"/>
    <w:rsid w:val="00316651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0B35"/>
    <w:rsid w:val="003E670D"/>
    <w:rsid w:val="003E67F9"/>
    <w:rsid w:val="003E7A89"/>
    <w:rsid w:val="003F033F"/>
    <w:rsid w:val="003F1F61"/>
    <w:rsid w:val="00401A13"/>
    <w:rsid w:val="004108F9"/>
    <w:rsid w:val="004200EA"/>
    <w:rsid w:val="0042208A"/>
    <w:rsid w:val="00424970"/>
    <w:rsid w:val="00424BA0"/>
    <w:rsid w:val="00426D11"/>
    <w:rsid w:val="0044636F"/>
    <w:rsid w:val="00456376"/>
    <w:rsid w:val="00482219"/>
    <w:rsid w:val="00497849"/>
    <w:rsid w:val="004C1610"/>
    <w:rsid w:val="004C207C"/>
    <w:rsid w:val="004D5A69"/>
    <w:rsid w:val="004D7C5F"/>
    <w:rsid w:val="004E0F5C"/>
    <w:rsid w:val="004F115E"/>
    <w:rsid w:val="00502752"/>
    <w:rsid w:val="00504182"/>
    <w:rsid w:val="005066CE"/>
    <w:rsid w:val="005250E4"/>
    <w:rsid w:val="00535B9E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25CF"/>
    <w:rsid w:val="005C345A"/>
    <w:rsid w:val="005D0417"/>
    <w:rsid w:val="005D6B0E"/>
    <w:rsid w:val="005E0602"/>
    <w:rsid w:val="005E3D79"/>
    <w:rsid w:val="005F4CFF"/>
    <w:rsid w:val="005F58E0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3EFC"/>
    <w:rsid w:val="006C43C7"/>
    <w:rsid w:val="006D1C41"/>
    <w:rsid w:val="006E01E4"/>
    <w:rsid w:val="006E0323"/>
    <w:rsid w:val="006E4F59"/>
    <w:rsid w:val="006E7790"/>
    <w:rsid w:val="006E7BD2"/>
    <w:rsid w:val="006F582B"/>
    <w:rsid w:val="006F6935"/>
    <w:rsid w:val="007026C1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345E"/>
    <w:rsid w:val="007B4815"/>
    <w:rsid w:val="007B538A"/>
    <w:rsid w:val="007D7593"/>
    <w:rsid w:val="007E2315"/>
    <w:rsid w:val="007E673E"/>
    <w:rsid w:val="00803BF6"/>
    <w:rsid w:val="00811642"/>
    <w:rsid w:val="00821FD8"/>
    <w:rsid w:val="00823D2B"/>
    <w:rsid w:val="00831390"/>
    <w:rsid w:val="00836072"/>
    <w:rsid w:val="00855324"/>
    <w:rsid w:val="00861F85"/>
    <w:rsid w:val="00862CA0"/>
    <w:rsid w:val="0086367C"/>
    <w:rsid w:val="00871A07"/>
    <w:rsid w:val="00871E07"/>
    <w:rsid w:val="00872FD8"/>
    <w:rsid w:val="00875A7E"/>
    <w:rsid w:val="00875E05"/>
    <w:rsid w:val="00880AC3"/>
    <w:rsid w:val="008823B2"/>
    <w:rsid w:val="008866FF"/>
    <w:rsid w:val="00887525"/>
    <w:rsid w:val="00895B5D"/>
    <w:rsid w:val="00897595"/>
    <w:rsid w:val="008B2095"/>
    <w:rsid w:val="008D63A5"/>
    <w:rsid w:val="008D6894"/>
    <w:rsid w:val="008E5E99"/>
    <w:rsid w:val="008F1EB5"/>
    <w:rsid w:val="008F5089"/>
    <w:rsid w:val="008F73C6"/>
    <w:rsid w:val="00902A0D"/>
    <w:rsid w:val="00906361"/>
    <w:rsid w:val="00906834"/>
    <w:rsid w:val="0090718A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6502"/>
    <w:rsid w:val="009F1D39"/>
    <w:rsid w:val="00A0005D"/>
    <w:rsid w:val="00A00B71"/>
    <w:rsid w:val="00A047A0"/>
    <w:rsid w:val="00A12326"/>
    <w:rsid w:val="00A13344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2B9F"/>
    <w:rsid w:val="00B27004"/>
    <w:rsid w:val="00B4209E"/>
    <w:rsid w:val="00B44D93"/>
    <w:rsid w:val="00B45BE4"/>
    <w:rsid w:val="00B54E3D"/>
    <w:rsid w:val="00B55305"/>
    <w:rsid w:val="00B81E1D"/>
    <w:rsid w:val="00B94249"/>
    <w:rsid w:val="00BA79D5"/>
    <w:rsid w:val="00BC1CD2"/>
    <w:rsid w:val="00BC38E4"/>
    <w:rsid w:val="00BC73F3"/>
    <w:rsid w:val="00BD2268"/>
    <w:rsid w:val="00BE4AA6"/>
    <w:rsid w:val="00BE4D1D"/>
    <w:rsid w:val="00BE558C"/>
    <w:rsid w:val="00BF2E6E"/>
    <w:rsid w:val="00C01175"/>
    <w:rsid w:val="00C04795"/>
    <w:rsid w:val="00C05411"/>
    <w:rsid w:val="00C10633"/>
    <w:rsid w:val="00C31D32"/>
    <w:rsid w:val="00C36722"/>
    <w:rsid w:val="00C370C7"/>
    <w:rsid w:val="00C37949"/>
    <w:rsid w:val="00C41FBE"/>
    <w:rsid w:val="00C42322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0727"/>
    <w:rsid w:val="00CA56A3"/>
    <w:rsid w:val="00CB05BA"/>
    <w:rsid w:val="00CB6270"/>
    <w:rsid w:val="00CB63F6"/>
    <w:rsid w:val="00CB7A57"/>
    <w:rsid w:val="00CC5376"/>
    <w:rsid w:val="00CD06BE"/>
    <w:rsid w:val="00CD26E7"/>
    <w:rsid w:val="00CE0122"/>
    <w:rsid w:val="00CE0767"/>
    <w:rsid w:val="00CE3824"/>
    <w:rsid w:val="00CE3D01"/>
    <w:rsid w:val="00CF5EE0"/>
    <w:rsid w:val="00D02BC9"/>
    <w:rsid w:val="00D10DA4"/>
    <w:rsid w:val="00D14734"/>
    <w:rsid w:val="00D2041D"/>
    <w:rsid w:val="00D258A0"/>
    <w:rsid w:val="00D26C05"/>
    <w:rsid w:val="00D321E6"/>
    <w:rsid w:val="00D36D5F"/>
    <w:rsid w:val="00D4161A"/>
    <w:rsid w:val="00D429F4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9645C"/>
    <w:rsid w:val="00DA251F"/>
    <w:rsid w:val="00DA301F"/>
    <w:rsid w:val="00DA3F0F"/>
    <w:rsid w:val="00DA4168"/>
    <w:rsid w:val="00DA6AC8"/>
    <w:rsid w:val="00DB2038"/>
    <w:rsid w:val="00DB6BDE"/>
    <w:rsid w:val="00DC2622"/>
    <w:rsid w:val="00DC45E1"/>
    <w:rsid w:val="00DC5459"/>
    <w:rsid w:val="00DD2E46"/>
    <w:rsid w:val="00DD3947"/>
    <w:rsid w:val="00DD3B1E"/>
    <w:rsid w:val="00DD5A3D"/>
    <w:rsid w:val="00DE026B"/>
    <w:rsid w:val="00DF2962"/>
    <w:rsid w:val="00E0091E"/>
    <w:rsid w:val="00E07446"/>
    <w:rsid w:val="00E153D2"/>
    <w:rsid w:val="00E24C84"/>
    <w:rsid w:val="00E2680C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95862"/>
    <w:rsid w:val="00EA1429"/>
    <w:rsid w:val="00EA250A"/>
    <w:rsid w:val="00EA38E3"/>
    <w:rsid w:val="00EB2896"/>
    <w:rsid w:val="00EB5F0D"/>
    <w:rsid w:val="00EB7697"/>
    <w:rsid w:val="00EC2024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2CD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D7AA8"/>
    <w:rsid w:val="00FE143C"/>
    <w:rsid w:val="00FE1C11"/>
    <w:rsid w:val="00FE2DA7"/>
    <w:rsid w:val="00FF0492"/>
    <w:rsid w:val="00FF2307"/>
    <w:rsid w:val="00FF4464"/>
    <w:rsid w:val="1BE41432"/>
    <w:rsid w:val="2CC30458"/>
    <w:rsid w:val="303CEA41"/>
    <w:rsid w:val="32649693"/>
    <w:rsid w:val="414B46B6"/>
    <w:rsid w:val="41D84E87"/>
    <w:rsid w:val="4A4211D8"/>
    <w:rsid w:val="4C3203E5"/>
    <w:rsid w:val="52772245"/>
    <w:rsid w:val="687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?subject=CA%20Enhancements%20Feedba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en/Sector-Participants/Engagement-Initiatives/Engagements/Capacity-Auction-Enhancement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933153"/>
    <w:rsid w:val="00B513C0"/>
    <w:rsid w:val="00CB5C67"/>
    <w:rsid w:val="00D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89F0B081C242846A79655B485A8A" ma:contentTypeVersion="13" ma:contentTypeDescription="Create a new document." ma:contentTypeScope="" ma:versionID="8c675c84ebf62387bb52b7a1e45e5c31">
  <xsd:schema xmlns:xsd="http://www.w3.org/2001/XMLSchema" xmlns:xs="http://www.w3.org/2001/XMLSchema" xmlns:p="http://schemas.microsoft.com/office/2006/metadata/properties" xmlns:ns2="82d46ccf-2f22-4763-b2d3-eb3408923087" xmlns:ns3="13a199c1-42b1-4160-bd03-f79b61525d7b" targetNamespace="http://schemas.microsoft.com/office/2006/metadata/properties" ma:root="true" ma:fieldsID="107dac4764eabba41c931692679e83eb" ns2:_="" ns3:_="">
    <xsd:import namespace="82d46ccf-2f22-4763-b2d3-eb3408923087"/>
    <xsd:import namespace="13a199c1-42b1-4160-bd03-f79b61525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6ccf-2f22-4763-b2d3-eb3408923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99c1-42b1-4160-bd03-f79b61525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C93A2-0BAB-459A-94C3-9E9C13EBC62C}">
  <ds:schemaRefs>
    <ds:schemaRef ds:uri="13a199c1-42b1-4160-bd03-f79b61525d7b"/>
    <ds:schemaRef ds:uri="http://purl.org/dc/terms/"/>
    <ds:schemaRef ds:uri="http://schemas.openxmlformats.org/package/2006/metadata/core-properties"/>
    <ds:schemaRef ds:uri="82d46ccf-2f22-4763-b2d3-eb340892308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B0E02-05DD-43CF-A4B6-2CB7BEF0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46ccf-2f22-4763-b2d3-eb3408923087"/>
    <ds:schemaRef ds:uri="13a199c1-42b1-4160-bd03-f79b6152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10948-2DB0-405C-A40F-46CF96AB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Capacity Auction Enhancements – February, 22, 2023 Feedback Form</vt:lpstr>
    </vt:vector>
  </TitlesOfParts>
  <Manager/>
  <Company>Independent Electricity System Operator</Company>
  <LinksUpToDate>false</LinksUpToDate>
  <CharactersWithSpaces>3162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Auction Enhancements – November 22, 2023 Feedback Form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2023-11-23T16:16:00Z</dcterms:created>
  <dcterms:modified xsi:type="dcterms:W3CDTF">2023-11-23T16:26:00Z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0x0101001D3789F0B081C242846A79655B485A8A</vt:lpwstr>
  </property>
</Properties>
</file>