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4BDC386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361D95B" w:rsidR="006F582B" w:rsidRDefault="00042DD5" w:rsidP="006F582B">
      <w:pPr>
        <w:pStyle w:val="Heading2"/>
      </w:pPr>
      <w:bookmarkStart w:id="0" w:name="_GoBack"/>
      <w:r>
        <w:t>Regional Planning Process Review Update</w:t>
      </w:r>
      <w:r w:rsidR="007A1A30">
        <w:t xml:space="preserve"> – </w:t>
      </w:r>
      <w:r w:rsidR="000233D4">
        <w:t>October</w:t>
      </w:r>
      <w:r w:rsidR="00F43A30">
        <w:t xml:space="preserve"> </w:t>
      </w:r>
      <w:r w:rsidR="000233D4">
        <w:t>19</w:t>
      </w:r>
      <w:r w:rsidR="00F43A30">
        <w:t>, 2021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536A8DD9" w14:textId="54AE15BC" w:rsidR="00042DD5" w:rsidRDefault="009362BC" w:rsidP="009362BC">
      <w:pPr>
        <w:pStyle w:val="BodyText"/>
        <w:rPr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0233D4">
        <w:rPr>
          <w:rFonts w:eastAsiaTheme="minorEastAsia" w:cs="Tahoma"/>
          <w:szCs w:val="22"/>
          <w:lang w:val="en-US"/>
        </w:rPr>
        <w:t>October 19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0233D4">
        <w:rPr>
          <w:rFonts w:eastAsiaTheme="minorEastAsia" w:cs="Tahoma"/>
          <w:szCs w:val="22"/>
          <w:lang w:val="en-US"/>
        </w:rPr>
        <w:t xml:space="preserve">the </w:t>
      </w:r>
      <w:r w:rsidR="00042DD5">
        <w:rPr>
          <w:rFonts w:eastAsiaTheme="minorEastAsia" w:cs="Tahoma"/>
          <w:szCs w:val="22"/>
          <w:lang w:val="en-US"/>
        </w:rPr>
        <w:t>Regional Planning Process Review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</w:t>
      </w:r>
      <w:r w:rsidR="00042DD5">
        <w:rPr>
          <w:rFonts w:eastAsiaTheme="minorEastAsia" w:cs="Tahoma"/>
          <w:szCs w:val="22"/>
          <w:lang w:val="en-US"/>
        </w:rPr>
        <w:t xml:space="preserve"> Independent Electricity System Operator</w:t>
      </w:r>
      <w:r w:rsidRPr="009362BC">
        <w:rPr>
          <w:rFonts w:eastAsiaTheme="minorEastAsia" w:cs="Tahoma"/>
          <w:szCs w:val="22"/>
          <w:lang w:val="en-US"/>
        </w:rPr>
        <w:t xml:space="preserve"> </w:t>
      </w:r>
      <w:r w:rsidR="00042DD5">
        <w:rPr>
          <w:rFonts w:eastAsiaTheme="minorEastAsia" w:cs="Tahoma"/>
          <w:szCs w:val="22"/>
          <w:lang w:val="en-US"/>
        </w:rPr>
        <w:t>(</w:t>
      </w:r>
      <w:r w:rsidRPr="009362BC">
        <w:rPr>
          <w:rFonts w:eastAsiaTheme="minorEastAsia" w:cs="Tahoma"/>
          <w:szCs w:val="22"/>
          <w:lang w:val="en-US"/>
        </w:rPr>
        <w:t>IESO</w:t>
      </w:r>
      <w:r w:rsidR="00042DD5">
        <w:rPr>
          <w:rFonts w:eastAsiaTheme="minorEastAsia" w:cs="Tahoma"/>
          <w:szCs w:val="22"/>
          <w:lang w:val="en-US"/>
        </w:rPr>
        <w:t>)</w:t>
      </w:r>
      <w:r w:rsidRPr="009362BC">
        <w:rPr>
          <w:rFonts w:eastAsiaTheme="minorEastAsia" w:cs="Tahoma"/>
          <w:szCs w:val="22"/>
          <w:lang w:val="en-US"/>
        </w:rPr>
        <w:t xml:space="preserve"> is seeking fe</w:t>
      </w:r>
      <w:r w:rsidR="00042DD5">
        <w:rPr>
          <w:rFonts w:eastAsiaTheme="minorEastAsia" w:cs="Tahoma"/>
          <w:szCs w:val="22"/>
          <w:lang w:val="en-US"/>
        </w:rPr>
        <w:t xml:space="preserve">edback from participants </w:t>
      </w:r>
      <w:r w:rsidR="00042DD5" w:rsidRPr="00042DD5">
        <w:rPr>
          <w:rFonts w:eastAsiaTheme="minorEastAsia" w:cs="Tahoma"/>
          <w:szCs w:val="22"/>
          <w:lang w:val="en-US"/>
        </w:rPr>
        <w:t>on its work to date on the draft process, screening mechanism, and tools to consider and evaluate non-wires alternatives in regional planning.</w:t>
      </w:r>
    </w:p>
    <w:p w14:paraId="76B82B19" w14:textId="7A50EC02" w:rsidR="0040480E" w:rsidRPr="00042DD5" w:rsidRDefault="009362BC" w:rsidP="00042DD5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D31DC2B" w14:textId="2794AD34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0233D4">
        <w:rPr>
          <w:rFonts w:cs="Tahoma"/>
          <w:szCs w:val="22"/>
        </w:rPr>
        <w:t>October 19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042DD5" w:rsidRPr="00042DD5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="00042DD5">
        <w:t>.</w:t>
      </w:r>
    </w:p>
    <w:p w14:paraId="2CD8483F" w14:textId="3FB62CA1" w:rsidR="009362BC" w:rsidRPr="009362BC" w:rsidRDefault="009362BC" w:rsidP="009362BC">
      <w:pPr>
        <w:rPr>
          <w:rFonts w:cs="Tahoma"/>
          <w:szCs w:val="22"/>
        </w:rPr>
      </w:pPr>
    </w:p>
    <w:p w14:paraId="00585EA6" w14:textId="0AEA1E29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0233D4">
        <w:rPr>
          <w:rFonts w:cs="Tahoma"/>
          <w:b/>
          <w:color w:val="FF0000"/>
          <w:szCs w:val="22"/>
        </w:rPr>
        <w:t>November 9</w:t>
      </w:r>
      <w:r w:rsidR="0040480E">
        <w:rPr>
          <w:rFonts w:cs="Tahoma"/>
          <w:b/>
          <w:color w:val="FF0000"/>
          <w:szCs w:val="22"/>
        </w:rPr>
        <w:t>,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042DD5">
        <w:rPr>
          <w:rFonts w:cs="Tahoma"/>
          <w:i/>
          <w:szCs w:val="22"/>
        </w:rPr>
        <w:t>Regional Planning Process Review Update</w:t>
      </w:r>
      <w:r w:rsidRPr="009362BC">
        <w:rPr>
          <w:rFonts w:cs="Tahoma"/>
          <w:szCs w:val="22"/>
        </w:rPr>
        <w:t xml:space="preserve">. 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042DD5" w:rsidRPr="00042DD5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0B511A64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416E2C98" w14:textId="77777777" w:rsidR="00042DD5" w:rsidRPr="00BF6E43" w:rsidRDefault="00042DD5" w:rsidP="00BF6E43">
      <w:pPr>
        <w:pStyle w:val="BodyText"/>
        <w:rPr>
          <w:rFonts w:cs="Tahoma"/>
          <w:szCs w:val="22"/>
        </w:rPr>
      </w:pPr>
    </w:p>
    <w:p w14:paraId="4358B92E" w14:textId="11E42A95" w:rsidR="00C04795" w:rsidRPr="004200EA" w:rsidRDefault="00042DD5" w:rsidP="00EF1F49">
      <w:pPr>
        <w:pStyle w:val="Heading3"/>
      </w:pPr>
      <w:bookmarkStart w:id="1" w:name="_Toc35868671"/>
      <w:r w:rsidRPr="00042DD5">
        <w:lastRenderedPageBreak/>
        <w:t>Integrated Regional Resource Plan (IRRP)</w:t>
      </w:r>
      <w:r>
        <w:t xml:space="preserve"> Non-Wires Alternatives (NWA) Process Improvements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E0178C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81CBE97" w:rsidR="004200EA" w:rsidRPr="006B7128" w:rsidRDefault="00C32337" w:rsidP="00042DD5">
            <w:pPr>
              <w:spacing w:after="0" w:line="240" w:lineRule="auto"/>
            </w:pPr>
            <w:r w:rsidRPr="00042DD5">
              <w:t xml:space="preserve">How can the draft NWA process presented </w:t>
            </w:r>
            <w:r w:rsidR="00042DD5">
              <w:t>on October 19, 2021</w:t>
            </w:r>
            <w:r w:rsidRPr="00042DD5">
              <w:t xml:space="preserve"> be further improved?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042DD5">
        <w:trPr>
          <w:cantSplit/>
          <w:trHeight w:val="886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ED4CCF4" w14:textId="70458E59" w:rsidR="00E0178C" w:rsidRPr="00E0178C" w:rsidRDefault="00C32337" w:rsidP="00A74A06">
            <w:pPr>
              <w:spacing w:after="0" w:line="240" w:lineRule="auto"/>
            </w:pPr>
            <w:r w:rsidRPr="00042DD5">
              <w:t>How can the IRRP best engage stakeholder on NWA options?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  <w:tr w:rsidR="000233D4" w:rsidRPr="006B7128" w14:paraId="287A3D5E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D176334" w14:textId="792945CB" w:rsidR="000233D4" w:rsidRPr="000233D4" w:rsidRDefault="00C32337" w:rsidP="00A74A06">
            <w:pPr>
              <w:spacing w:after="0" w:line="240" w:lineRule="auto"/>
            </w:pPr>
            <w:r w:rsidRPr="00042DD5">
              <w:t>What other information or data do you need to participate in NWA-related engagement? What other inform</w:t>
            </w:r>
            <w:r w:rsidR="00042DD5">
              <w:t>ation should the IRRP consider</w:t>
            </w:r>
            <w:r w:rsidRPr="00042DD5">
              <w:t xml:space="preserve"> to better characterize needs or identify NWA options?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458E8C" w14:textId="77777777" w:rsidR="000233D4" w:rsidRPr="006D7540" w:rsidRDefault="000233D4" w:rsidP="00DC09F6">
            <w:pPr>
              <w:pStyle w:val="TableNumeralsLeftAlignment"/>
            </w:pPr>
          </w:p>
        </w:tc>
      </w:tr>
    </w:tbl>
    <w:p w14:paraId="0CB4D756" w14:textId="690BF534" w:rsidR="00197EE4" w:rsidRDefault="00197EE4" w:rsidP="00456376">
      <w:pPr>
        <w:pStyle w:val="BodyText"/>
      </w:pPr>
    </w:p>
    <w:p w14:paraId="2B25E991" w14:textId="6622AC36" w:rsidR="00BF6E43" w:rsidRPr="004200EA" w:rsidRDefault="00042DD5" w:rsidP="00BF6E43">
      <w:pPr>
        <w:pStyle w:val="Heading3"/>
      </w:pPr>
      <w:r>
        <w:t>Regional Planning Dashboard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0C16DD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D1E7646" w14:textId="7A1A9D92" w:rsidR="00BF6E43" w:rsidRPr="006B7128" w:rsidRDefault="00C32337" w:rsidP="000233D4">
            <w:pPr>
              <w:spacing w:after="0" w:line="240" w:lineRule="auto"/>
            </w:pPr>
            <w:r w:rsidRPr="00042DD5">
              <w:rPr>
                <w:lang w:val="en-US"/>
              </w:rPr>
              <w:t>What regional planning/engagement information is most useful to you?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  <w:tr w:rsidR="00C32337" w:rsidRPr="006B7128" w14:paraId="490D79D2" w14:textId="77777777" w:rsidTr="000C16DD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24866AC" w14:textId="77777777" w:rsidR="00951337" w:rsidRPr="00C32337" w:rsidRDefault="00C32337" w:rsidP="00C32337">
            <w:pPr>
              <w:spacing w:after="0" w:line="240" w:lineRule="auto"/>
            </w:pPr>
            <w:r w:rsidRPr="00C32337">
              <w:rPr>
                <w:lang w:val="en-US"/>
              </w:rPr>
              <w:t>What additional information would you want provided in the regional planning dashboard?</w:t>
            </w:r>
          </w:p>
          <w:p w14:paraId="505C9C1A" w14:textId="77777777" w:rsidR="00C32337" w:rsidRPr="00042DD5" w:rsidRDefault="00C32337" w:rsidP="000233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DD6F8F" w14:textId="77777777" w:rsidR="00C32337" w:rsidRPr="006D7540" w:rsidRDefault="00C32337" w:rsidP="000C16DD">
            <w:pPr>
              <w:pStyle w:val="TableNumeralsLeftAlignment"/>
            </w:pPr>
          </w:p>
        </w:tc>
      </w:tr>
    </w:tbl>
    <w:p w14:paraId="0ACAC07C" w14:textId="3BD82F27" w:rsidR="00BF6E43" w:rsidRDefault="00BF6E43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3DEC10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79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0AB17C2" w:rsidR="00C6016F" w:rsidRDefault="00042DD5" w:rsidP="00871E07">
    <w:pPr>
      <w:pStyle w:val="Footer"/>
      <w:ind w:right="360"/>
    </w:pPr>
    <w:r>
      <w:t>Regional Planning Process Review Update</w:t>
    </w:r>
    <w:r w:rsidR="00FC7434">
      <w:t xml:space="preserve">, </w:t>
    </w:r>
    <w:r w:rsidR="000233D4">
      <w:t>19</w:t>
    </w:r>
    <w:r w:rsidR="00FC7434">
      <w:t>/</w:t>
    </w:r>
    <w:r w:rsidR="000233D4">
      <w:t>10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2FB834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1417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C293332"/>
    <w:multiLevelType w:val="hybridMultilevel"/>
    <w:tmpl w:val="8DC08184"/>
    <w:lvl w:ilvl="0" w:tplc="08225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0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A2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0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AC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04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4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FF9074A"/>
    <w:multiLevelType w:val="hybridMultilevel"/>
    <w:tmpl w:val="A40E44D2"/>
    <w:lvl w:ilvl="0" w:tplc="958A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9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0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6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E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0C37B3"/>
    <w:multiLevelType w:val="hybridMultilevel"/>
    <w:tmpl w:val="2D50CABC"/>
    <w:lvl w:ilvl="0" w:tplc="4446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2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8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A8C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C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4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6C09E0"/>
    <w:multiLevelType w:val="hybridMultilevel"/>
    <w:tmpl w:val="0AC43DB0"/>
    <w:lvl w:ilvl="0" w:tplc="F75A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0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0D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0B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C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67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0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F93B4F"/>
    <w:multiLevelType w:val="hybridMultilevel"/>
    <w:tmpl w:val="2ACADE4E"/>
    <w:lvl w:ilvl="0" w:tplc="D0607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E5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4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E8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6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4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804E08"/>
    <w:multiLevelType w:val="hybridMultilevel"/>
    <w:tmpl w:val="9D72C858"/>
    <w:lvl w:ilvl="0" w:tplc="4C3E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61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A6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5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2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0963AD"/>
    <w:multiLevelType w:val="hybridMultilevel"/>
    <w:tmpl w:val="56B6FC1A"/>
    <w:lvl w:ilvl="0" w:tplc="FA3E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6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1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07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2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C3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C4272A"/>
    <w:multiLevelType w:val="hybridMultilevel"/>
    <w:tmpl w:val="70025742"/>
    <w:lvl w:ilvl="0" w:tplc="11CE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E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6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C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E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07660B"/>
    <w:multiLevelType w:val="hybridMultilevel"/>
    <w:tmpl w:val="FB663B9A"/>
    <w:lvl w:ilvl="0" w:tplc="E884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C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21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8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E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6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F361778"/>
    <w:multiLevelType w:val="multilevel"/>
    <w:tmpl w:val="0409001D"/>
    <w:numStyleLink w:val="1ai"/>
  </w:abstractNum>
  <w:abstractNum w:abstractNumId="2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3"/>
  </w:num>
  <w:num w:numId="12">
    <w:abstractNumId w:val="21"/>
  </w:num>
  <w:num w:numId="13">
    <w:abstractNumId w:val="29"/>
  </w:num>
  <w:num w:numId="14">
    <w:abstractNumId w:val="31"/>
  </w:num>
  <w:num w:numId="15">
    <w:abstractNumId w:val="28"/>
  </w:num>
  <w:num w:numId="16">
    <w:abstractNumId w:val="35"/>
  </w:num>
  <w:num w:numId="17">
    <w:abstractNumId w:val="12"/>
  </w:num>
  <w:num w:numId="18">
    <w:abstractNumId w:val="37"/>
  </w:num>
  <w:num w:numId="19">
    <w:abstractNumId w:val="30"/>
  </w:num>
  <w:num w:numId="20">
    <w:abstractNumId w:val="38"/>
  </w:num>
  <w:num w:numId="21">
    <w:abstractNumId w:val="36"/>
  </w:num>
  <w:num w:numId="22">
    <w:abstractNumId w:val="40"/>
  </w:num>
  <w:num w:numId="23">
    <w:abstractNumId w:val="23"/>
  </w:num>
  <w:num w:numId="24">
    <w:abstractNumId w:val="27"/>
  </w:num>
  <w:num w:numId="25">
    <w:abstractNumId w:val="42"/>
  </w:num>
  <w:num w:numId="26">
    <w:abstractNumId w:val="20"/>
  </w:num>
  <w:num w:numId="27">
    <w:abstractNumId w:val="44"/>
  </w:num>
  <w:num w:numId="28">
    <w:abstractNumId w:val="24"/>
  </w:num>
  <w:num w:numId="29">
    <w:abstractNumId w:val="41"/>
  </w:num>
  <w:num w:numId="30">
    <w:abstractNumId w:val="22"/>
  </w:num>
  <w:num w:numId="31">
    <w:abstractNumId w:val="32"/>
  </w:num>
  <w:num w:numId="32">
    <w:abstractNumId w:val="39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 w:numId="39">
    <w:abstractNumId w:val="11"/>
  </w:num>
  <w:num w:numId="40">
    <w:abstractNumId w:val="25"/>
  </w:num>
  <w:num w:numId="41">
    <w:abstractNumId w:val="13"/>
  </w:num>
  <w:num w:numId="42">
    <w:abstractNumId w:val="17"/>
  </w:num>
  <w:num w:numId="43">
    <w:abstractNumId w:val="19"/>
  </w:num>
  <w:num w:numId="44">
    <w:abstractNumId w:val="26"/>
  </w:num>
  <w:num w:numId="45">
    <w:abstractNumId w:val="15"/>
  </w:num>
  <w:num w:numId="46">
    <w:abstractNumId w:val="1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33D4"/>
    <w:rsid w:val="00027E00"/>
    <w:rsid w:val="00031023"/>
    <w:rsid w:val="00032FAC"/>
    <w:rsid w:val="0003386C"/>
    <w:rsid w:val="000424C0"/>
    <w:rsid w:val="00042DD5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07926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1337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14171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2337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E0B20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07926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107926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0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57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77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79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6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9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975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85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35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41365-30D0-4214-BDBA-109828D1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335</Words>
  <Characters>1778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Planning Process Review Update – October 19, 2021 Feedback</dc:title>
  <dc:subject/>
  <dc:creator>Independent Electricity System Operator (IESO)</dc:creator>
  <cp:keywords/>
  <dc:description/>
  <cp:lastModifiedBy>Daniela Drazic</cp:lastModifiedBy>
  <cp:revision>29</cp:revision>
  <cp:lastPrinted>2020-04-17T18:00:00Z</cp:lastPrinted>
  <dcterms:created xsi:type="dcterms:W3CDTF">2020-10-09T15:56:00Z</dcterms:created>
  <dcterms:modified xsi:type="dcterms:W3CDTF">2021-10-13T19:08:00Z</dcterms:modified>
  <cp:category/>
</cp:coreProperties>
</file>