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486A48E5" w:rsidR="006F582B" w:rsidRDefault="00A91F80" w:rsidP="006F582B">
      <w:pPr>
        <w:pStyle w:val="Heading2"/>
      </w:pPr>
      <w:r>
        <w:t xml:space="preserve">Distributed Energy Resources (DER) </w:t>
      </w:r>
      <w:r w:rsidR="00B87823">
        <w:t xml:space="preserve">Roadmap </w:t>
      </w:r>
      <w:r w:rsidR="007A1A30" w:rsidRPr="00CF0207">
        <w:t>–</w:t>
      </w:r>
      <w:r w:rsidR="007A1A30">
        <w:t xml:space="preserve"> </w:t>
      </w:r>
      <w:r w:rsidR="00B15381">
        <w:t>Octo</w:t>
      </w:r>
      <w:r>
        <w:t>ber</w:t>
      </w:r>
      <w:r w:rsidR="00CF0207">
        <w:t xml:space="preserve"> 2</w:t>
      </w:r>
      <w:r w:rsidR="00B15381">
        <w:t>0</w:t>
      </w:r>
      <w:r w:rsidR="00CF0207">
        <w:t>, 2</w:t>
      </w:r>
      <w:r w:rsidR="00F43A30">
        <w:t>021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3F9FB271" w14:textId="31B7D19F" w:rsidR="00CF0207" w:rsidRDefault="00CF0207" w:rsidP="00F22E89">
      <w:pPr>
        <w:pStyle w:val="BodyText"/>
      </w:pPr>
      <w:bookmarkStart w:id="0" w:name="_GoBack"/>
      <w:r w:rsidRPr="00CF0207">
        <w:rPr>
          <w:lang w:val="en-CA"/>
        </w:rPr>
        <w:t xml:space="preserve">Following the </w:t>
      </w:r>
      <w:r w:rsidR="00B15381">
        <w:rPr>
          <w:lang w:val="en-CA"/>
        </w:rPr>
        <w:t>Octo</w:t>
      </w:r>
      <w:r w:rsidR="00A91F80">
        <w:rPr>
          <w:lang w:val="en-CA"/>
        </w:rPr>
        <w:t>ber 2</w:t>
      </w:r>
      <w:r w:rsidR="00B15381">
        <w:rPr>
          <w:lang w:val="en-CA"/>
        </w:rPr>
        <w:t>0</w:t>
      </w:r>
      <w:r w:rsidR="00B15381">
        <w:rPr>
          <w:vertAlign w:val="superscript"/>
          <w:lang w:val="en-CA"/>
        </w:rPr>
        <w:t>th</w:t>
      </w:r>
      <w:r w:rsidR="00A91F80">
        <w:rPr>
          <w:lang w:val="en-CA"/>
        </w:rPr>
        <w:t xml:space="preserve"> </w:t>
      </w:r>
      <w:r w:rsidRPr="00CF0207">
        <w:rPr>
          <w:lang w:val="en-CA"/>
        </w:rPr>
        <w:t xml:space="preserve">public webinar </w:t>
      </w:r>
      <w:r w:rsidR="00A91F80">
        <w:rPr>
          <w:lang w:val="en-CA"/>
        </w:rPr>
        <w:t xml:space="preserve">on the DER </w:t>
      </w:r>
      <w:r w:rsidR="00B87823">
        <w:rPr>
          <w:lang w:val="en-CA"/>
        </w:rPr>
        <w:t>Roadmap</w:t>
      </w:r>
      <w:r w:rsidRPr="00CF0207">
        <w:rPr>
          <w:lang w:val="en-CA"/>
        </w:rPr>
        <w:t xml:space="preserve">, the Independent Electricity System Operator (IESO) </w:t>
      </w:r>
      <w:r w:rsidR="00B15381">
        <w:rPr>
          <w:lang w:val="en-CA"/>
        </w:rPr>
        <w:t xml:space="preserve">is </w:t>
      </w:r>
      <w:r w:rsidRPr="00CF0207">
        <w:rPr>
          <w:lang w:val="en-CA"/>
        </w:rPr>
        <w:t>seekin</w:t>
      </w:r>
      <w:r w:rsidR="00A91F80">
        <w:rPr>
          <w:lang w:val="en-CA"/>
        </w:rPr>
        <w:t>g feedback from participants on the</w:t>
      </w:r>
      <w:r w:rsidR="00B87823">
        <w:rPr>
          <w:lang w:val="en-CA"/>
        </w:rPr>
        <w:t xml:space="preserve"> objectives and initiatives </w:t>
      </w:r>
      <w:r w:rsidR="00B87823" w:rsidRPr="00B87823">
        <w:rPr>
          <w:lang w:val="en-CA"/>
        </w:rPr>
        <w:t xml:space="preserve">proposed </w:t>
      </w:r>
      <w:r w:rsidR="00B87823">
        <w:rPr>
          <w:lang w:val="en-CA"/>
        </w:rPr>
        <w:t>for inclusion in the DER Roadmap and the associated timelines, as well as on the format and approach to information sharing.</w:t>
      </w:r>
      <w:r w:rsidR="001A100E">
        <w:rPr>
          <w:lang w:val="en-CA"/>
        </w:rPr>
        <w:t xml:space="preserve"> The OEB and IESO are also seeking feedback on the cross-cutting issues for collaboration.</w:t>
      </w:r>
    </w:p>
    <w:bookmarkEnd w:id="0"/>
    <w:p w14:paraId="6C8D64BA" w14:textId="03C8EBD2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referenced presentation</w:t>
      </w:r>
      <w:r w:rsidR="001A100E">
        <w:rPr>
          <w:lang w:val="en-CA"/>
        </w:rPr>
        <w:t>s</w:t>
      </w:r>
      <w:r w:rsidR="006259BB">
        <w:rPr>
          <w:lang w:val="en-CA"/>
        </w:rPr>
        <w:t xml:space="preserve"> </w:t>
      </w:r>
      <w:r w:rsidRPr="00CF0207">
        <w:rPr>
          <w:lang w:val="en-CA"/>
        </w:rPr>
        <w:t xml:space="preserve">can be found on the </w:t>
      </w:r>
      <w:hyperlink r:id="rId8" w:history="1">
        <w:r w:rsidR="00B87823" w:rsidRPr="00A84F79">
          <w:rPr>
            <w:rStyle w:val="Hyperlink"/>
          </w:rPr>
          <w:t>DER Roadmap webpage</w:t>
        </w:r>
      </w:hyperlink>
      <w:r w:rsidR="00B87823">
        <w:t>.</w:t>
      </w:r>
    </w:p>
    <w:p w14:paraId="075E1EF2" w14:textId="2C625C70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B15381" w:rsidRPr="00B15381">
        <w:rPr>
          <w:b/>
          <w:color w:val="FF0000"/>
          <w:lang w:val="en-CA"/>
        </w:rPr>
        <w:t>November 10</w:t>
      </w:r>
      <w:r w:rsidRPr="00B15381">
        <w:rPr>
          <w:b/>
          <w:color w:val="FF0000"/>
          <w:lang w:val="en-CA"/>
        </w:rPr>
        <w:t xml:space="preserve">, 2021 </w:t>
      </w:r>
      <w:r w:rsidR="009712B7">
        <w:rPr>
          <w:b/>
          <w:lang w:val="en-CA"/>
        </w:rPr>
        <w:t xml:space="preserve">to </w:t>
      </w:r>
      <w:hyperlink r:id="rId9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A91F80">
        <w:rPr>
          <w:i/>
          <w:lang w:val="en-CA"/>
        </w:rPr>
        <w:t xml:space="preserve">DER </w:t>
      </w:r>
      <w:r w:rsidR="00B87823">
        <w:rPr>
          <w:i/>
          <w:lang w:val="en-CA"/>
        </w:rPr>
        <w:t>Roadmap</w:t>
      </w:r>
      <w:r w:rsidRPr="00CF0207">
        <w:rPr>
          <w:lang w:val="en-CA"/>
        </w:rPr>
        <w:t xml:space="preserve">. To promote transparency, this feedback will be posted on the </w:t>
      </w:r>
      <w:hyperlink r:id="rId10" w:history="1">
        <w:r w:rsidR="00B87823" w:rsidRPr="00A84F79">
          <w:rPr>
            <w:rStyle w:val="Hyperlink"/>
          </w:rPr>
          <w:t>DER Roadmap 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40D5E8A1" w14:textId="76E287C5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The IESO will work to consider and incorporate comments as appropriate and post responses on the webpage.</w:t>
      </w:r>
    </w:p>
    <w:p w14:paraId="694A4399" w14:textId="0BA551D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4773ACF8" w14:textId="1AD72C47" w:rsidR="00C04795" w:rsidRPr="004200EA" w:rsidRDefault="00B87823" w:rsidP="00EF1F49">
      <w:pPr>
        <w:pStyle w:val="Heading3"/>
      </w:pPr>
      <w:r>
        <w:lastRenderedPageBreak/>
        <w:t>Objectives, initiatives and timing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9D00884" w14:textId="77777777" w:rsidR="00213088" w:rsidRPr="00B87823" w:rsidRDefault="00B87823" w:rsidP="00B87823">
            <w:pPr>
              <w:spacing w:after="0" w:line="240" w:lineRule="auto"/>
              <w:ind w:right="72"/>
            </w:pPr>
            <w:r w:rsidRPr="00B87823">
              <w:t xml:space="preserve">Is the information proposed for inclusion in the DER Roadmap (objectives, initiatives, timing) helpful for stakeholders to understand the progress IESO is making on DER integration? </w:t>
            </w:r>
          </w:p>
          <w:p w14:paraId="5BFC8513" w14:textId="475A2F29" w:rsidR="00F879DD" w:rsidRPr="00B15381" w:rsidRDefault="00F879DD" w:rsidP="006259BB">
            <w:pPr>
              <w:spacing w:after="0" w:line="240" w:lineRule="auto"/>
              <w:ind w:right="72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0B5CFA5" w14:textId="77777777" w:rsidR="00213088" w:rsidRPr="00B87823" w:rsidRDefault="00B87823" w:rsidP="00B87823">
            <w:pPr>
              <w:spacing w:after="0" w:line="240" w:lineRule="auto"/>
              <w:ind w:right="72"/>
            </w:pPr>
            <w:r w:rsidRPr="00B87823">
              <w:rPr>
                <w:lang w:val="en-US"/>
              </w:rPr>
              <w:t>Will the identified initiatives enable the IESO to achieve its objectives?</w:t>
            </w:r>
          </w:p>
          <w:p w14:paraId="17D31E32" w14:textId="77777777" w:rsidR="00B87823" w:rsidRPr="00B87823" w:rsidRDefault="00B87823" w:rsidP="00B87823">
            <w:pPr>
              <w:spacing w:after="0" w:line="240" w:lineRule="auto"/>
              <w:ind w:right="72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</w:tbl>
    <w:p w14:paraId="620B5CB9" w14:textId="3C9D1687" w:rsidR="00CF0207" w:rsidRPr="004200EA" w:rsidRDefault="00B87823" w:rsidP="00CF0207">
      <w:pPr>
        <w:pStyle w:val="Heading3"/>
      </w:pPr>
      <w:r>
        <w:t>Information sharing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CF0207" w:rsidRPr="006B7128" w14:paraId="26FC6B92" w14:textId="77777777" w:rsidTr="00D85FAB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8F10F4E" w14:textId="77777777" w:rsidR="00CF0207" w:rsidRPr="003A3754" w:rsidRDefault="00CF0207" w:rsidP="00D85FAB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2E504F9" w14:textId="77777777" w:rsidR="00CF0207" w:rsidRPr="006B7128" w:rsidRDefault="00CF0207" w:rsidP="00D85FA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F0207" w:rsidRPr="006B7128" w14:paraId="480E121C" w14:textId="77777777" w:rsidTr="00403A58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169EB86" w14:textId="77777777" w:rsidR="00213088" w:rsidRPr="00B87823" w:rsidRDefault="00B87823" w:rsidP="00B87823">
            <w:pPr>
              <w:spacing w:after="0" w:line="240" w:lineRule="auto"/>
              <w:ind w:right="72"/>
            </w:pPr>
            <w:r w:rsidRPr="00B87823">
              <w:t xml:space="preserve">Is the format/approach to sharing this information helpful for keeping up to date with the progress IESO is making on DER integration? </w:t>
            </w:r>
          </w:p>
          <w:p w14:paraId="3CB792D6" w14:textId="39F11972" w:rsidR="00CF0207" w:rsidRPr="006B7128" w:rsidRDefault="00CF0207" w:rsidP="00B15381">
            <w:pPr>
              <w:spacing w:after="0" w:line="240" w:lineRule="auto"/>
              <w:ind w:right="72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9890191" w14:textId="77777777" w:rsidR="00CF0207" w:rsidRPr="006D7540" w:rsidRDefault="00CF0207" w:rsidP="00D85FAB">
            <w:pPr>
              <w:pStyle w:val="TableNumeralsLeftAlignment"/>
            </w:pPr>
          </w:p>
        </w:tc>
      </w:tr>
    </w:tbl>
    <w:p w14:paraId="20770A49" w14:textId="3643D6A6" w:rsidR="001A100E" w:rsidRPr="004200EA" w:rsidRDefault="001A100E" w:rsidP="001A100E">
      <w:pPr>
        <w:pStyle w:val="Heading3"/>
      </w:pPr>
      <w:r w:rsidRPr="00C30B76">
        <w:t xml:space="preserve">OEB/IESO Joint </w:t>
      </w:r>
      <w:r>
        <w:t>Engagement – cross-cutting issues for collaboration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1A100E" w:rsidRPr="006B7128" w14:paraId="534B1EA4" w14:textId="77777777" w:rsidTr="008F41AB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11D25403" w14:textId="77777777" w:rsidR="001A100E" w:rsidRPr="003A3754" w:rsidRDefault="001A100E" w:rsidP="008F41AB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CEDA120" w14:textId="77777777" w:rsidR="001A100E" w:rsidRPr="006B7128" w:rsidRDefault="001A100E" w:rsidP="008F41A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1A100E" w:rsidRPr="006B7128" w14:paraId="3BDE6B08" w14:textId="77777777" w:rsidTr="00A84F7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B36BBA5" w14:textId="7153FF63" w:rsidR="00213218" w:rsidRDefault="001A100E" w:rsidP="001A100E">
            <w:pPr>
              <w:spacing w:after="0" w:line="240" w:lineRule="auto"/>
              <w:rPr>
                <w:lang w:val="en-US"/>
              </w:rPr>
            </w:pPr>
            <w:r w:rsidRPr="001A100E">
              <w:rPr>
                <w:lang w:val="en-US"/>
              </w:rPr>
              <w:t>Does this draft list capture the major cross-cutting DER integration issues for collaboration between the OEB/IESO?</w:t>
            </w:r>
          </w:p>
          <w:p w14:paraId="78967F57" w14:textId="77777777" w:rsidR="001A100E" w:rsidRDefault="001A100E" w:rsidP="001A100E">
            <w:pPr>
              <w:spacing w:after="0" w:line="240" w:lineRule="auto"/>
              <w:rPr>
                <w:lang w:val="en-US"/>
              </w:rPr>
            </w:pPr>
          </w:p>
          <w:p w14:paraId="46065EE2" w14:textId="15496EA1" w:rsidR="001A100E" w:rsidRPr="001A100E" w:rsidRDefault="001A100E" w:rsidP="008F41AB">
            <w:pPr>
              <w:spacing w:after="0" w:line="240" w:lineRule="auto"/>
            </w:pPr>
            <w:r w:rsidRPr="001A100E">
              <w:rPr>
                <w:lang w:val="en-US"/>
              </w:rPr>
              <w:t>If not, what other issues related to DER integration should the IESO/OEB collaborate 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D72E594" w14:textId="77777777" w:rsidR="001A100E" w:rsidRPr="006D7540" w:rsidRDefault="001A100E" w:rsidP="008F41AB">
            <w:pPr>
              <w:pStyle w:val="TableNumeralsLeftAlignment"/>
            </w:pPr>
          </w:p>
        </w:tc>
      </w:tr>
      <w:tr w:rsidR="001A100E" w:rsidRPr="006B7128" w14:paraId="3F3D1193" w14:textId="77777777" w:rsidTr="00A84F79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0DACDFE" w14:textId="349515C9" w:rsidR="001A100E" w:rsidRPr="001A100E" w:rsidRDefault="001A100E" w:rsidP="008F41AB">
            <w:pPr>
              <w:spacing w:after="0" w:line="240" w:lineRule="auto"/>
            </w:pPr>
            <w:r w:rsidRPr="001A100E">
              <w:rPr>
                <w:lang w:val="en-US"/>
              </w:rPr>
              <w:t>Are there elements of the cross-cutting DER integration issues that require attention in the near-term that are not currently being addressed? If so, what are those issues and what are your perspectives on why they need near-term attention?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51D4717" w14:textId="77777777" w:rsidR="001A100E" w:rsidRPr="006D7540" w:rsidRDefault="001A100E" w:rsidP="008F41AB">
            <w:pPr>
              <w:pStyle w:val="TableNumeralsLeftAlignment"/>
            </w:pPr>
          </w:p>
        </w:tc>
      </w:tr>
    </w:tbl>
    <w:p w14:paraId="5ED98E5E" w14:textId="64629510" w:rsidR="00D2041D" w:rsidRDefault="00D2041D" w:rsidP="00D2041D">
      <w:pPr>
        <w:pStyle w:val="Heading3"/>
      </w:pPr>
      <w:r>
        <w:t>General Comments/Feedback</w:t>
      </w:r>
    </w:p>
    <w:bookmarkEnd w:id="1"/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F96A" w14:textId="77777777" w:rsidR="006B0978" w:rsidRDefault="006B0978" w:rsidP="00F83314">
      <w:r>
        <w:separator/>
      </w:r>
    </w:p>
    <w:p w14:paraId="2F2927C2" w14:textId="77777777" w:rsidR="006B0978" w:rsidRDefault="006B0978"/>
  </w:endnote>
  <w:endnote w:type="continuationSeparator" w:id="0">
    <w:p w14:paraId="31CD0EC0" w14:textId="77777777" w:rsidR="006B0978" w:rsidRDefault="006B0978" w:rsidP="00F83314">
      <w:r>
        <w:continuationSeparator/>
      </w:r>
    </w:p>
    <w:p w14:paraId="22BBA063" w14:textId="77777777" w:rsidR="006B0978" w:rsidRDefault="006B0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73895897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C6DB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7EE522E2" w:rsidR="00C6016F" w:rsidRDefault="00A91F80" w:rsidP="00871E07">
    <w:pPr>
      <w:pStyle w:val="Footer"/>
      <w:ind w:right="360"/>
    </w:pPr>
    <w:r>
      <w:t xml:space="preserve">DER </w:t>
    </w:r>
    <w:r w:rsidR="00B87823">
      <w:t>Roadmap</w:t>
    </w:r>
    <w:r w:rsidR="00FC7434">
      <w:t xml:space="preserve">, </w:t>
    </w:r>
    <w:r w:rsidR="00B15381">
      <w:t>20</w:t>
    </w:r>
    <w:r w:rsidR="00FC7434">
      <w:t>/</w:t>
    </w:r>
    <w:r w:rsidR="00A84F79">
      <w:t>October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24EC291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BC6DBE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1689" w14:textId="77777777" w:rsidR="006B0978" w:rsidRDefault="006B0978">
      <w:r>
        <w:separator/>
      </w:r>
    </w:p>
  </w:footnote>
  <w:footnote w:type="continuationSeparator" w:id="0">
    <w:p w14:paraId="3F7DF4A0" w14:textId="77777777" w:rsidR="006B0978" w:rsidRDefault="006B0978" w:rsidP="00F83314">
      <w:r>
        <w:continuationSeparator/>
      </w:r>
    </w:p>
    <w:p w14:paraId="5E1E70B2" w14:textId="77777777" w:rsidR="006B0978" w:rsidRDefault="006B09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100E"/>
    <w:rsid w:val="001B31FB"/>
    <w:rsid w:val="001B5068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81E1D"/>
    <w:rsid w:val="00B87823"/>
    <w:rsid w:val="00B94249"/>
    <w:rsid w:val="00BC1CD2"/>
    <w:rsid w:val="00BC6DBE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Roadm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Roadma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14D37"/>
    <w:rsid w:val="00884744"/>
    <w:rsid w:val="00A85B25"/>
    <w:rsid w:val="00B513C0"/>
    <w:rsid w:val="00CD5434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DB944-CD36-4B71-90C0-95209A05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Potential Study – September 22, 2021</vt:lpstr>
    </vt:vector>
  </TitlesOfParts>
  <Manager/>
  <Company>Independent Electricity System Operator</Company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Energy Resources (DER) Roadmap – October 20, 2021 Feedback</dc:title>
  <dc:subject/>
  <dc:creator>Independent Electricity System Operator (IESO)</dc:creator>
  <cp:keywords/>
  <dc:description/>
  <cp:lastModifiedBy>Daniela Drazic</cp:lastModifiedBy>
  <cp:revision>8</cp:revision>
  <cp:lastPrinted>2020-04-17T18:00:00Z</cp:lastPrinted>
  <dcterms:created xsi:type="dcterms:W3CDTF">2021-09-10T13:11:00Z</dcterms:created>
  <dcterms:modified xsi:type="dcterms:W3CDTF">2021-10-06T12:12:00Z</dcterms:modified>
  <cp:category/>
</cp:coreProperties>
</file>