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EC69227" w:rsidR="006F582B" w:rsidRDefault="00042DD5" w:rsidP="006F582B">
      <w:pPr>
        <w:pStyle w:val="Heading2"/>
      </w:pPr>
      <w:bookmarkStart w:id="0" w:name="_GoBack"/>
      <w:r>
        <w:t>Regional Planning Process Review Update</w:t>
      </w:r>
      <w:r w:rsidR="007A1A30">
        <w:t xml:space="preserve"> – </w:t>
      </w:r>
      <w:r w:rsidR="001E65FA">
        <w:t>August 25, 2022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536A8DD9" w14:textId="5A4ED73B" w:rsidR="00042DD5" w:rsidRDefault="009362BC" w:rsidP="009362BC">
      <w:pPr>
        <w:pStyle w:val="BodyText"/>
        <w:rPr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1E65FA">
        <w:rPr>
          <w:rFonts w:eastAsiaTheme="minorEastAsia" w:cs="Tahoma"/>
          <w:szCs w:val="22"/>
          <w:lang w:val="en-US"/>
        </w:rPr>
        <w:t>August 25, 2022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0233D4">
        <w:rPr>
          <w:rFonts w:eastAsiaTheme="minorEastAsia" w:cs="Tahoma"/>
          <w:szCs w:val="22"/>
          <w:lang w:val="en-US"/>
        </w:rPr>
        <w:t xml:space="preserve">the </w:t>
      </w:r>
      <w:r w:rsidR="00042DD5">
        <w:rPr>
          <w:rFonts w:eastAsiaTheme="minorEastAsia" w:cs="Tahoma"/>
          <w:szCs w:val="22"/>
          <w:lang w:val="en-US"/>
        </w:rPr>
        <w:t>Regional Planning Process Review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</w:t>
      </w:r>
      <w:r w:rsidR="00042DD5">
        <w:rPr>
          <w:rFonts w:eastAsiaTheme="minorEastAsia" w:cs="Tahoma"/>
          <w:szCs w:val="22"/>
          <w:lang w:val="en-US"/>
        </w:rPr>
        <w:t xml:space="preserve"> Independent Electricity System Operator</w:t>
      </w:r>
      <w:r w:rsidRPr="009362BC">
        <w:rPr>
          <w:rFonts w:eastAsiaTheme="minorEastAsia" w:cs="Tahoma"/>
          <w:szCs w:val="22"/>
          <w:lang w:val="en-US"/>
        </w:rPr>
        <w:t xml:space="preserve"> </w:t>
      </w:r>
      <w:r w:rsidR="00042DD5">
        <w:rPr>
          <w:rFonts w:eastAsiaTheme="minorEastAsia" w:cs="Tahoma"/>
          <w:szCs w:val="22"/>
          <w:lang w:val="en-US"/>
        </w:rPr>
        <w:t>(</w:t>
      </w:r>
      <w:r w:rsidRPr="009362BC">
        <w:rPr>
          <w:rFonts w:eastAsiaTheme="minorEastAsia" w:cs="Tahoma"/>
          <w:szCs w:val="22"/>
          <w:lang w:val="en-US"/>
        </w:rPr>
        <w:t>IESO</w:t>
      </w:r>
      <w:r w:rsidR="00042DD5">
        <w:rPr>
          <w:rFonts w:eastAsiaTheme="minorEastAsia" w:cs="Tahoma"/>
          <w:szCs w:val="22"/>
          <w:lang w:val="en-US"/>
        </w:rPr>
        <w:t>)</w:t>
      </w:r>
      <w:r w:rsidRPr="009362BC">
        <w:rPr>
          <w:rFonts w:eastAsiaTheme="minorEastAsia" w:cs="Tahoma"/>
          <w:szCs w:val="22"/>
          <w:lang w:val="en-US"/>
        </w:rPr>
        <w:t xml:space="preserve"> is seeking fe</w:t>
      </w:r>
      <w:r w:rsidR="00042DD5">
        <w:rPr>
          <w:rFonts w:eastAsiaTheme="minorEastAsia" w:cs="Tahoma"/>
          <w:szCs w:val="22"/>
          <w:lang w:val="en-US"/>
        </w:rPr>
        <w:t xml:space="preserve">edback from participants </w:t>
      </w:r>
      <w:r w:rsidR="00042DD5" w:rsidRPr="00042DD5">
        <w:rPr>
          <w:rFonts w:eastAsiaTheme="minorEastAsia" w:cs="Tahoma"/>
          <w:szCs w:val="22"/>
          <w:lang w:val="en-US"/>
        </w:rPr>
        <w:t>on</w:t>
      </w:r>
      <w:r w:rsidR="00AF7C94">
        <w:rPr>
          <w:rFonts w:eastAsiaTheme="minorEastAsia" w:cs="Tahoma"/>
          <w:szCs w:val="22"/>
          <w:lang w:val="en-US"/>
        </w:rPr>
        <w:t xml:space="preserve"> the </w:t>
      </w:r>
      <w:r w:rsidR="001E65FA">
        <w:rPr>
          <w:rFonts w:eastAsiaTheme="minorEastAsia" w:cs="Tahoma"/>
          <w:szCs w:val="22"/>
          <w:lang w:val="en-US"/>
        </w:rPr>
        <w:t xml:space="preserve">hourly </w:t>
      </w:r>
      <w:r w:rsidR="00AF7C94">
        <w:rPr>
          <w:rFonts w:eastAsiaTheme="minorEastAsia" w:cs="Tahoma"/>
          <w:szCs w:val="22"/>
          <w:lang w:val="en-US"/>
        </w:rPr>
        <w:t>demand profiling methodology, as well as the non-wires a</w:t>
      </w:r>
      <w:r w:rsidR="001E65FA">
        <w:rPr>
          <w:rFonts w:eastAsiaTheme="minorEastAsia" w:cs="Tahoma"/>
          <w:szCs w:val="22"/>
          <w:lang w:val="en-US"/>
        </w:rPr>
        <w:t>lternatives (NWAs) options analysis</w:t>
      </w:r>
      <w:r w:rsidR="00AF7C94">
        <w:rPr>
          <w:rFonts w:eastAsiaTheme="minorEastAsia" w:cs="Tahoma"/>
          <w:szCs w:val="22"/>
          <w:lang w:val="en-US"/>
        </w:rPr>
        <w:t xml:space="preserve"> in Integrated Regional Resource Plans (IRRPs)</w:t>
      </w:r>
      <w:r w:rsidR="001E65FA">
        <w:rPr>
          <w:rFonts w:eastAsiaTheme="minorEastAsia" w:cs="Tahoma"/>
          <w:szCs w:val="22"/>
          <w:lang w:val="en-US"/>
        </w:rPr>
        <w:t>.</w:t>
      </w:r>
    </w:p>
    <w:p w14:paraId="76B82B19" w14:textId="7A50EC02" w:rsidR="0040480E" w:rsidRPr="00042DD5" w:rsidRDefault="009362BC" w:rsidP="00042DD5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6D31DC2B" w14:textId="3D7471C9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1E65FA">
        <w:rPr>
          <w:rFonts w:cs="Tahoma"/>
          <w:szCs w:val="22"/>
        </w:rPr>
        <w:t>August 25, 2022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042DD5" w:rsidRPr="00042DD5">
          <w:rPr>
            <w:rStyle w:val="Hyperlink"/>
            <w:noProof w:val="0"/>
            <w:lang w:eastAsia="en-US"/>
            <w14:numForm w14:val="default"/>
            <w14:numSpacing w14:val="default"/>
          </w:rPr>
          <w:t>DER Roadmap webpage</w:t>
        </w:r>
      </w:hyperlink>
      <w:r w:rsidR="00042DD5">
        <w:t>.</w:t>
      </w:r>
    </w:p>
    <w:p w14:paraId="2CD8483F" w14:textId="3FB62CA1" w:rsidR="009362BC" w:rsidRPr="009362BC" w:rsidRDefault="009362BC" w:rsidP="009362BC">
      <w:pPr>
        <w:rPr>
          <w:rFonts w:cs="Tahoma"/>
          <w:szCs w:val="22"/>
        </w:rPr>
      </w:pPr>
    </w:p>
    <w:p w14:paraId="00585EA6" w14:textId="59599885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1E65FA">
        <w:rPr>
          <w:rFonts w:cs="Tahoma"/>
          <w:b/>
          <w:color w:val="FF0000"/>
          <w:szCs w:val="22"/>
        </w:rPr>
        <w:t>September 16,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042DD5">
        <w:rPr>
          <w:rFonts w:cs="Tahoma"/>
          <w:i/>
          <w:szCs w:val="22"/>
        </w:rPr>
        <w:t>Regional Planning Process Review Update</w:t>
      </w:r>
      <w:r w:rsidRPr="009362BC">
        <w:rPr>
          <w:rFonts w:cs="Tahoma"/>
          <w:szCs w:val="22"/>
        </w:rPr>
        <w:t xml:space="preserve">. 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042DD5" w:rsidRPr="00042DD5">
          <w:rPr>
            <w:rStyle w:val="Hyperlink"/>
            <w:noProof w:val="0"/>
            <w:lang w:eastAsia="en-US"/>
            <w14:numForm w14:val="default"/>
            <w14:numSpacing w14:val="default"/>
          </w:rPr>
          <w:t>DER Roadmap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280CE50C" w14:textId="0B511A64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416E2C98" w14:textId="77777777" w:rsidR="00042DD5" w:rsidRPr="00BF6E43" w:rsidRDefault="00042DD5" w:rsidP="00BF6E43">
      <w:pPr>
        <w:pStyle w:val="BodyText"/>
        <w:rPr>
          <w:rFonts w:cs="Tahoma"/>
          <w:szCs w:val="22"/>
        </w:rPr>
      </w:pPr>
    </w:p>
    <w:p w14:paraId="4358B92E" w14:textId="41590DEA" w:rsidR="00C04795" w:rsidRPr="004200EA" w:rsidRDefault="001E65FA" w:rsidP="00EF1F49">
      <w:pPr>
        <w:pStyle w:val="Heading3"/>
      </w:pPr>
      <w:bookmarkStart w:id="1" w:name="_Toc35868671"/>
      <w:r>
        <w:lastRenderedPageBreak/>
        <w:t>Hourly Load Forecasting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1E65FA">
        <w:trPr>
          <w:cantSplit/>
          <w:trHeight w:val="733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AC31769" w:rsidR="004200EA" w:rsidRPr="006B7128" w:rsidRDefault="001E65FA" w:rsidP="00042DD5">
            <w:pPr>
              <w:spacing w:after="0" w:line="240" w:lineRule="auto"/>
            </w:pPr>
            <w:r w:rsidRPr="001E65FA">
              <w:t>What other data or considerations should we include in hourly load profiling? 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</w:tbl>
    <w:p w14:paraId="2B25E991" w14:textId="35DEBFE3" w:rsidR="00BF6E43" w:rsidRPr="004200EA" w:rsidRDefault="00AF7C94" w:rsidP="00BF6E43">
      <w:pPr>
        <w:pStyle w:val="Heading3"/>
      </w:pPr>
      <w:r>
        <w:t>Non-Wires Options Analysis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14:paraId="28D2E16A" w14:textId="77777777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7E2BE0" w14:textId="77777777"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B662629" w14:textId="77777777"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14:paraId="6F78933C" w14:textId="77777777" w:rsidTr="001E65FA">
        <w:trPr>
          <w:cantSplit/>
          <w:trHeight w:val="850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D1E7646" w14:textId="1F4651F3" w:rsidR="00BF6E43" w:rsidRPr="006B7128" w:rsidRDefault="001E65FA" w:rsidP="000233D4">
            <w:pPr>
              <w:spacing w:after="0" w:line="240" w:lineRule="auto"/>
            </w:pPr>
            <w:r w:rsidRPr="001E65FA">
              <w:t>Are there any other NWAs or opportunities that should be considered in the IRRP's options analysis? How can the options analysis methodology be improved?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C424E" w14:textId="77777777" w:rsidR="00BF6E43" w:rsidRPr="006D7540" w:rsidRDefault="00BF6E43" w:rsidP="000C16DD">
            <w:pPr>
              <w:pStyle w:val="TableNumeralsLeftAlignment"/>
            </w:pPr>
          </w:p>
        </w:tc>
      </w:tr>
      <w:tr w:rsidR="00C32337" w:rsidRPr="006B7128" w14:paraId="490D79D2" w14:textId="77777777" w:rsidTr="000C16DD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05C9C1A" w14:textId="07F2DE90" w:rsidR="00C32337" w:rsidRPr="001E65FA" w:rsidRDefault="001E65FA" w:rsidP="000233D4">
            <w:pPr>
              <w:spacing w:after="0" w:line="240" w:lineRule="auto"/>
            </w:pPr>
            <w:r w:rsidRPr="001E65FA">
              <w:t>Are there operational considerations that should be accounted for when assessing non-wires solution that relies on a dispatch component? For example, does the current storage sizing approach sufficiently account for how it could be operated in today's system? If not, what improvements would be needed?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BDD6F8F" w14:textId="77777777" w:rsidR="00C32337" w:rsidRPr="006D7540" w:rsidRDefault="00C32337" w:rsidP="000C16DD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A73AAF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661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05A9FEC" w:rsidR="00C6016F" w:rsidRDefault="00042DD5" w:rsidP="00871E07">
    <w:pPr>
      <w:pStyle w:val="Footer"/>
      <w:ind w:right="360"/>
    </w:pPr>
    <w:r>
      <w:t>Regional Planning Process Review Update</w:t>
    </w:r>
    <w:r w:rsidR="00FC7434">
      <w:t xml:space="preserve">, </w:t>
    </w:r>
    <w:r w:rsidR="001E65FA">
      <w:t>25</w:t>
    </w:r>
    <w:r w:rsidR="00FC7434">
      <w:t>/</w:t>
    </w:r>
    <w:r w:rsidR="001E65FA">
      <w:t>August</w:t>
    </w:r>
    <w:r w:rsidR="00FC7434">
      <w:t>/</w:t>
    </w:r>
    <w:r w:rsidR="001E65FA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2F4C46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E661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C293332"/>
    <w:multiLevelType w:val="hybridMultilevel"/>
    <w:tmpl w:val="8DC08184"/>
    <w:lvl w:ilvl="0" w:tplc="08225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8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0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A2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0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AC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04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4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FF9074A"/>
    <w:multiLevelType w:val="hybridMultilevel"/>
    <w:tmpl w:val="A40E44D2"/>
    <w:lvl w:ilvl="0" w:tplc="958A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09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0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0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6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6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E8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0C37B3"/>
    <w:multiLevelType w:val="hybridMultilevel"/>
    <w:tmpl w:val="2D50CABC"/>
    <w:lvl w:ilvl="0" w:tplc="4446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2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8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A8C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8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C0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2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4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2362CF9"/>
    <w:multiLevelType w:val="hybridMultilevel"/>
    <w:tmpl w:val="31CCAB06"/>
    <w:lvl w:ilvl="0" w:tplc="B8E25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EA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60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2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43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02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6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5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46C09E0"/>
    <w:multiLevelType w:val="hybridMultilevel"/>
    <w:tmpl w:val="0AC43DB0"/>
    <w:lvl w:ilvl="0" w:tplc="F75A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0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0D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0B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C0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67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0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5111D2"/>
    <w:multiLevelType w:val="hybridMultilevel"/>
    <w:tmpl w:val="A62EC412"/>
    <w:lvl w:ilvl="0" w:tplc="6240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0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6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84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0F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6B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6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6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4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F93B4F"/>
    <w:multiLevelType w:val="hybridMultilevel"/>
    <w:tmpl w:val="2ACADE4E"/>
    <w:lvl w:ilvl="0" w:tplc="D0607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C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E5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4D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D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E8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6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48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804E08"/>
    <w:multiLevelType w:val="hybridMultilevel"/>
    <w:tmpl w:val="9D72C858"/>
    <w:lvl w:ilvl="0" w:tplc="4C3E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61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8F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0A6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5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C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0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2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0963AD"/>
    <w:multiLevelType w:val="hybridMultilevel"/>
    <w:tmpl w:val="56B6FC1A"/>
    <w:lvl w:ilvl="0" w:tplc="FA3E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6F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1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07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20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C3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0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C4272A"/>
    <w:multiLevelType w:val="hybridMultilevel"/>
    <w:tmpl w:val="70025742"/>
    <w:lvl w:ilvl="0" w:tplc="11CE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E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07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6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C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C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CE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07660B"/>
    <w:multiLevelType w:val="hybridMultilevel"/>
    <w:tmpl w:val="FB663B9A"/>
    <w:lvl w:ilvl="0" w:tplc="E884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C7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21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4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8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CE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6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ACC47B5"/>
    <w:multiLevelType w:val="hybridMultilevel"/>
    <w:tmpl w:val="3856C59C"/>
    <w:lvl w:ilvl="0" w:tplc="75F2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4F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CF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4A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E7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66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0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8A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A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361778"/>
    <w:multiLevelType w:val="multilevel"/>
    <w:tmpl w:val="0409001D"/>
    <w:numStyleLink w:val="1ai"/>
  </w:abstractNum>
  <w:abstractNum w:abstractNumId="3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46"/>
  </w:num>
  <w:num w:numId="12">
    <w:abstractNumId w:val="23"/>
  </w:num>
  <w:num w:numId="13">
    <w:abstractNumId w:val="32"/>
  </w:num>
  <w:num w:numId="14">
    <w:abstractNumId w:val="34"/>
  </w:num>
  <w:num w:numId="15">
    <w:abstractNumId w:val="31"/>
  </w:num>
  <w:num w:numId="16">
    <w:abstractNumId w:val="38"/>
  </w:num>
  <w:num w:numId="17">
    <w:abstractNumId w:val="12"/>
  </w:num>
  <w:num w:numId="18">
    <w:abstractNumId w:val="40"/>
  </w:num>
  <w:num w:numId="19">
    <w:abstractNumId w:val="33"/>
  </w:num>
  <w:num w:numId="20">
    <w:abstractNumId w:val="41"/>
  </w:num>
  <w:num w:numId="21">
    <w:abstractNumId w:val="39"/>
  </w:num>
  <w:num w:numId="22">
    <w:abstractNumId w:val="43"/>
  </w:num>
  <w:num w:numId="23">
    <w:abstractNumId w:val="25"/>
  </w:num>
  <w:num w:numId="24">
    <w:abstractNumId w:val="29"/>
  </w:num>
  <w:num w:numId="25">
    <w:abstractNumId w:val="45"/>
  </w:num>
  <w:num w:numId="26">
    <w:abstractNumId w:val="22"/>
  </w:num>
  <w:num w:numId="27">
    <w:abstractNumId w:val="47"/>
  </w:num>
  <w:num w:numId="28">
    <w:abstractNumId w:val="26"/>
  </w:num>
  <w:num w:numId="29">
    <w:abstractNumId w:val="44"/>
  </w:num>
  <w:num w:numId="30">
    <w:abstractNumId w:val="24"/>
  </w:num>
  <w:num w:numId="31">
    <w:abstractNumId w:val="35"/>
  </w:num>
  <w:num w:numId="32">
    <w:abstractNumId w:val="42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6"/>
  </w:num>
  <w:num w:numId="39">
    <w:abstractNumId w:val="11"/>
  </w:num>
  <w:num w:numId="40">
    <w:abstractNumId w:val="27"/>
  </w:num>
  <w:num w:numId="41">
    <w:abstractNumId w:val="13"/>
  </w:num>
  <w:num w:numId="42">
    <w:abstractNumId w:val="19"/>
  </w:num>
  <w:num w:numId="43">
    <w:abstractNumId w:val="21"/>
  </w:num>
  <w:num w:numId="44">
    <w:abstractNumId w:val="28"/>
  </w:num>
  <w:num w:numId="45">
    <w:abstractNumId w:val="16"/>
  </w:num>
  <w:num w:numId="46">
    <w:abstractNumId w:val="18"/>
  </w:num>
  <w:num w:numId="47">
    <w:abstractNumId w:val="10"/>
  </w:num>
  <w:num w:numId="48">
    <w:abstractNumId w:val="15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33D4"/>
    <w:rsid w:val="00027E00"/>
    <w:rsid w:val="00031023"/>
    <w:rsid w:val="00032FAC"/>
    <w:rsid w:val="0003386C"/>
    <w:rsid w:val="000424C0"/>
    <w:rsid w:val="00042DD5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E65FA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B07BF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5F4D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661E"/>
    <w:rsid w:val="00AF7C94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2337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0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57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772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79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64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9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975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4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12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8718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85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35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B571D-911C-413E-A145-661992C8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Planning Process Review Update – August 25, 2022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2022-08-16T14:25:00Z</dcterms:created>
  <dcterms:modified xsi:type="dcterms:W3CDTF">2022-08-18T15:48:00Z</dcterms:modified>
  <cp:category/>
</cp:coreProperties>
</file>