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6AED00A3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911AB" w14:textId="77777777" w:rsidR="00B735EE" w:rsidRDefault="00B735EE" w:rsidP="00B735EE">
                            <w:pPr>
                              <w:pStyle w:val="Heading1"/>
                            </w:pPr>
                            <w:r w:rsidRPr="00B735EE">
                              <w:t xml:space="preserve">Appendix C – </w:t>
                            </w:r>
                          </w:p>
                          <w:p w14:paraId="673B9EF4" w14:textId="36DC2520" w:rsidR="0035658F" w:rsidRDefault="00B735EE" w:rsidP="00B735EE">
                            <w:pPr>
                              <w:pStyle w:val="Heading1"/>
                            </w:pPr>
                            <w:r w:rsidRPr="00B735EE">
                              <w:t>Measure Substantiation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368911AB" w14:textId="77777777" w:rsidR="00B735EE" w:rsidRDefault="00B735EE" w:rsidP="00B735EE">
                      <w:pPr>
                        <w:pStyle w:val="Heading1"/>
                      </w:pPr>
                      <w:r w:rsidRPr="00B735EE">
                        <w:t xml:space="preserve">Appendix C – </w:t>
                      </w:r>
                    </w:p>
                    <w:p w14:paraId="673B9EF4" w14:textId="36DC2520" w:rsidR="0035658F" w:rsidRDefault="00B735EE" w:rsidP="00B735EE">
                      <w:pPr>
                        <w:pStyle w:val="Heading1"/>
                      </w:pPr>
                      <w:r w:rsidRPr="00B735EE">
                        <w:t>Measure Substantiation Sheet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3C534912" w14:textId="6D9A013E" w:rsidR="00B735EE" w:rsidRPr="00B735EE" w:rsidRDefault="00B735EE" w:rsidP="00B735EE">
      <w:pPr>
        <w:pStyle w:val="Heading2"/>
      </w:pPr>
      <w:r w:rsidRPr="00B735EE">
        <w:t>Measure Name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7E67B8" w:rsidRPr="00D07F9C" w14:paraId="79BCEA0B" w14:textId="77777777" w:rsidTr="007E67B8">
        <w:tc>
          <w:tcPr>
            <w:tcW w:w="10188" w:type="dxa"/>
            <w:shd w:val="clear" w:color="auto" w:fill="auto"/>
          </w:tcPr>
          <w:p w14:paraId="00092429" w14:textId="77777777" w:rsidR="007E67B8" w:rsidRPr="00D07F9C" w:rsidRDefault="007E67B8" w:rsidP="007E67B8">
            <w:pPr>
              <w:rPr>
                <w:rFonts w:ascii="Arial Black" w:eastAsia="Times New Roman" w:hAnsi="Arial Black" w:cs="Times New Roman"/>
                <w:b/>
                <w:color w:val="FFFFFF"/>
                <w:sz w:val="24"/>
                <w:lang w:eastAsia="en-CA"/>
              </w:rPr>
            </w:pPr>
            <w:r w:rsidRPr="007E67B8"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  <w:t>Conservation Measure Description</w:t>
            </w:r>
          </w:p>
        </w:tc>
      </w:tr>
      <w:tr w:rsidR="007E67B8" w:rsidRPr="00D07F9C" w14:paraId="41068191" w14:textId="77777777" w:rsidTr="007E67B8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BAE31" w14:textId="77777777" w:rsidR="007E67B8" w:rsidRPr="00D07F9C" w:rsidRDefault="007E67B8" w:rsidP="005111D9">
            <w:pPr>
              <w:spacing w:before="60" w:after="60" w:line="240" w:lineRule="auto"/>
              <w:rPr>
                <w:rFonts w:ascii="Arial" w:eastAsia="Times New Roman" w:hAnsi="Arial" w:cs="Arial"/>
                <w:szCs w:val="18"/>
                <w:lang w:eastAsia="en-CA"/>
              </w:rPr>
            </w:pPr>
          </w:p>
        </w:tc>
      </w:tr>
      <w:tr w:rsidR="007E67B8" w:rsidRPr="00D07F9C" w14:paraId="30E71ECF" w14:textId="77777777" w:rsidTr="007E67B8">
        <w:tc>
          <w:tcPr>
            <w:tcW w:w="10188" w:type="dxa"/>
            <w:shd w:val="clear" w:color="auto" w:fill="auto"/>
          </w:tcPr>
          <w:p w14:paraId="31A56381" w14:textId="77777777" w:rsidR="007E67B8" w:rsidRPr="00D07F9C" w:rsidRDefault="007E67B8" w:rsidP="007E67B8">
            <w:pPr>
              <w:rPr>
                <w:rFonts w:ascii="Arial Black" w:eastAsia="Times New Roman" w:hAnsi="Arial Black" w:cs="Times New Roman"/>
                <w:b/>
                <w:color w:val="FFFFFF"/>
                <w:sz w:val="24"/>
                <w:lang w:eastAsia="en-CA"/>
              </w:rPr>
            </w:pPr>
            <w:r w:rsidRPr="007E67B8"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  <w:t>Base Measure Description</w:t>
            </w:r>
          </w:p>
        </w:tc>
      </w:tr>
      <w:tr w:rsidR="007E67B8" w:rsidRPr="00D07F9C" w14:paraId="6624FD42" w14:textId="77777777" w:rsidTr="007E67B8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5C7F6" w14:textId="77777777" w:rsidR="007E67B8" w:rsidRPr="00D07F9C" w:rsidRDefault="007E67B8" w:rsidP="005111D9">
            <w:pPr>
              <w:spacing w:before="60" w:after="60" w:line="240" w:lineRule="auto"/>
              <w:rPr>
                <w:rFonts w:ascii="Arial" w:eastAsia="Times New Roman" w:hAnsi="Arial" w:cs="Arial"/>
                <w:szCs w:val="18"/>
                <w:lang w:eastAsia="en-CA"/>
              </w:rPr>
            </w:pPr>
          </w:p>
        </w:tc>
      </w:tr>
    </w:tbl>
    <w:p w14:paraId="4667A311" w14:textId="77777777" w:rsidR="007E67B8" w:rsidRDefault="007E67B8" w:rsidP="00B735EE">
      <w:pPr>
        <w:pStyle w:val="BodyText"/>
        <w:rPr>
          <w:lang w:eastAsia="en-US"/>
        </w:rPr>
      </w:pPr>
    </w:p>
    <w:p w14:paraId="0E596941" w14:textId="77777777" w:rsidR="00B735EE" w:rsidRPr="00B735EE" w:rsidRDefault="00B735EE" w:rsidP="00B735EE">
      <w:pPr>
        <w:pStyle w:val="Heading2"/>
      </w:pPr>
      <w:r w:rsidRPr="00B735EE">
        <w:t>Codes, Standards and Regulations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B735EE" w:rsidRPr="00D07F9C" w14:paraId="4168BE2B" w14:textId="77777777" w:rsidTr="005111D9">
        <w:tc>
          <w:tcPr>
            <w:tcW w:w="10188" w:type="dxa"/>
          </w:tcPr>
          <w:p w14:paraId="17279B69" w14:textId="0F726DA3" w:rsidR="00B735EE" w:rsidRDefault="00B735EE" w:rsidP="005111D9">
            <w:pPr>
              <w:spacing w:before="60" w:after="60" w:line="240" w:lineRule="auto"/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</w:pPr>
            <w:r w:rsidRPr="00B735EE"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  <w:t>Provide any reference to Codes, Standards, and Regulations related to the efficiency level of the Base Equipment and Efficient Equipment:</w:t>
            </w:r>
          </w:p>
          <w:p w14:paraId="3E6243AC" w14:textId="708F4025" w:rsidR="007E67B8" w:rsidRPr="007E67B8" w:rsidRDefault="007E67B8" w:rsidP="007E67B8">
            <w:pPr>
              <w:pStyle w:val="BodyText"/>
              <w:rPr>
                <w:lang w:eastAsia="en-US"/>
              </w:rPr>
            </w:pPr>
          </w:p>
          <w:p w14:paraId="6581D8D8" w14:textId="6CE3421C" w:rsidR="00B735EE" w:rsidRPr="00D07F9C" w:rsidRDefault="00B735EE" w:rsidP="005111D9">
            <w:pPr>
              <w:spacing w:before="60" w:after="60" w:line="240" w:lineRule="auto"/>
              <w:rPr>
                <w:rFonts w:cs="Arial"/>
                <w:snapToGrid w:val="0"/>
                <w:color w:val="000000"/>
                <w:szCs w:val="18"/>
              </w:rPr>
            </w:pPr>
            <w:r>
              <w:rPr>
                <w:rFonts w:cs="Arial"/>
                <w:snapToGrid w:val="0"/>
                <w:color w:val="000000"/>
                <w:szCs w:val="18"/>
              </w:rPr>
              <w:t xml:space="preserve"> </w:t>
            </w:r>
          </w:p>
        </w:tc>
      </w:tr>
    </w:tbl>
    <w:p w14:paraId="5F04351C" w14:textId="77777777" w:rsidR="00B735EE" w:rsidRPr="00B735EE" w:rsidRDefault="00B735EE" w:rsidP="00B735EE">
      <w:pPr>
        <w:pStyle w:val="BodyText"/>
        <w:rPr>
          <w:lang w:eastAsia="en-US"/>
        </w:rPr>
      </w:pPr>
    </w:p>
    <w:p w14:paraId="6A546072" w14:textId="5414F975" w:rsidR="00B735EE" w:rsidRDefault="00B735EE" w:rsidP="00B735EE">
      <w:pPr>
        <w:pStyle w:val="Heading2"/>
      </w:pPr>
      <w:r w:rsidRPr="00B735EE">
        <w:t>Resource Savings Summary Table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2340"/>
        <w:gridCol w:w="2250"/>
        <w:gridCol w:w="2520"/>
      </w:tblGrid>
      <w:tr w:rsidR="007E67B8" w:rsidRPr="00D07F9C" w14:paraId="7A49B237" w14:textId="77777777" w:rsidTr="007E67B8">
        <w:trPr>
          <w:trHeight w:val="432"/>
        </w:trPr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8CDF3" w14:textId="77777777" w:rsidR="007E67B8" w:rsidRPr="007E67B8" w:rsidRDefault="007E67B8" w:rsidP="005111D9">
            <w:pPr>
              <w:jc w:val="center"/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1B327" w14:textId="77777777" w:rsidR="007E67B8" w:rsidRPr="007E67B8" w:rsidRDefault="007E67B8" w:rsidP="005111D9">
            <w:pPr>
              <w:jc w:val="center"/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</w:pPr>
            <w:r w:rsidRPr="007E67B8"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  <w:t>Base Measure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2AAC4" w14:textId="77777777" w:rsidR="007E67B8" w:rsidRPr="007E67B8" w:rsidRDefault="007E67B8" w:rsidP="005111D9">
            <w:pPr>
              <w:jc w:val="center"/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</w:pPr>
            <w:r w:rsidRPr="007E67B8"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  <w:t>Conservation Measure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E2BF9" w14:textId="77777777" w:rsidR="007E67B8" w:rsidRPr="007E67B8" w:rsidRDefault="007E67B8" w:rsidP="005111D9">
            <w:pPr>
              <w:jc w:val="center"/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</w:pPr>
            <w:r w:rsidRPr="007E67B8"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  <w:t>Savings</w:t>
            </w:r>
          </w:p>
        </w:tc>
      </w:tr>
      <w:tr w:rsidR="007E67B8" w:rsidRPr="00D07F9C" w14:paraId="3AFDAB7A" w14:textId="77777777" w:rsidTr="007E67B8">
        <w:trPr>
          <w:trHeight w:val="432"/>
        </w:trPr>
        <w:tc>
          <w:tcPr>
            <w:tcW w:w="3055" w:type="dxa"/>
            <w:shd w:val="clear" w:color="auto" w:fill="auto"/>
            <w:vAlign w:val="center"/>
          </w:tcPr>
          <w:p w14:paraId="7846E21C" w14:textId="77777777" w:rsidR="007E67B8" w:rsidRPr="007E67B8" w:rsidRDefault="007E67B8" w:rsidP="005111D9">
            <w:pPr>
              <w:rPr>
                <w:rFonts w:cs="Tahoma"/>
                <w:b/>
                <w:color w:val="FFFFFF" w:themeColor="background1"/>
              </w:rPr>
            </w:pPr>
            <w:r w:rsidRPr="007E67B8">
              <w:rPr>
                <w:rFonts w:eastAsia="Times New Roman" w:cs="Tahoma"/>
                <w:szCs w:val="18"/>
                <w:lang w:eastAsia="en-CA"/>
              </w:rPr>
              <w:t>Summer Peak Demand (kW)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5D4F5F" w14:textId="77777777" w:rsidR="007E67B8" w:rsidRPr="007E67B8" w:rsidRDefault="007E67B8" w:rsidP="005111D9">
            <w:pPr>
              <w:rPr>
                <w:rFonts w:cs="Tahom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0BACB72" w14:textId="77777777" w:rsidR="007E67B8" w:rsidRPr="007E67B8" w:rsidRDefault="007E67B8" w:rsidP="005111D9">
            <w:pPr>
              <w:rPr>
                <w:rFonts w:cs="Tahom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91BCFBE" w14:textId="77777777" w:rsidR="007E67B8" w:rsidRPr="007E67B8" w:rsidRDefault="007E67B8" w:rsidP="005111D9">
            <w:pPr>
              <w:rPr>
                <w:rFonts w:cs="Tahoma"/>
              </w:rPr>
            </w:pPr>
          </w:p>
        </w:tc>
      </w:tr>
      <w:tr w:rsidR="007E67B8" w:rsidRPr="00D07F9C" w14:paraId="40BD3901" w14:textId="77777777" w:rsidTr="007E67B8">
        <w:trPr>
          <w:trHeight w:val="432"/>
        </w:trPr>
        <w:tc>
          <w:tcPr>
            <w:tcW w:w="3055" w:type="dxa"/>
            <w:shd w:val="clear" w:color="auto" w:fill="auto"/>
            <w:vAlign w:val="center"/>
          </w:tcPr>
          <w:p w14:paraId="30A8401D" w14:textId="77777777" w:rsidR="007E67B8" w:rsidRPr="007E67B8" w:rsidRDefault="007E67B8" w:rsidP="005111D9">
            <w:pPr>
              <w:rPr>
                <w:rFonts w:eastAsia="Times New Roman" w:cs="Tahoma"/>
                <w:szCs w:val="18"/>
                <w:lang w:eastAsia="en-CA"/>
              </w:rPr>
            </w:pPr>
            <w:r w:rsidRPr="007E67B8">
              <w:rPr>
                <w:rFonts w:eastAsia="Times New Roman" w:cs="Tahoma"/>
                <w:szCs w:val="18"/>
                <w:lang w:eastAsia="en-CA"/>
              </w:rPr>
              <w:t>Winter Peak Demand (kW)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1B05561" w14:textId="77777777" w:rsidR="007E67B8" w:rsidRPr="007E67B8" w:rsidRDefault="007E67B8" w:rsidP="005111D9">
            <w:pPr>
              <w:rPr>
                <w:rFonts w:cs="Tahom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4C83099" w14:textId="77777777" w:rsidR="007E67B8" w:rsidRPr="007E67B8" w:rsidRDefault="007E67B8" w:rsidP="005111D9">
            <w:pPr>
              <w:rPr>
                <w:rFonts w:cs="Tahom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EFD2690" w14:textId="77777777" w:rsidR="007E67B8" w:rsidRPr="007E67B8" w:rsidRDefault="007E67B8" w:rsidP="005111D9">
            <w:pPr>
              <w:rPr>
                <w:rFonts w:cs="Tahoma"/>
              </w:rPr>
            </w:pPr>
          </w:p>
        </w:tc>
      </w:tr>
      <w:tr w:rsidR="007E67B8" w:rsidRPr="00D07F9C" w14:paraId="2D7A0EC8" w14:textId="77777777" w:rsidTr="007E67B8">
        <w:trPr>
          <w:trHeight w:val="432"/>
        </w:trPr>
        <w:tc>
          <w:tcPr>
            <w:tcW w:w="3055" w:type="dxa"/>
            <w:shd w:val="clear" w:color="auto" w:fill="auto"/>
            <w:vAlign w:val="center"/>
          </w:tcPr>
          <w:p w14:paraId="3640BB46" w14:textId="77777777" w:rsidR="007E67B8" w:rsidRPr="007E67B8" w:rsidRDefault="007E67B8" w:rsidP="005111D9">
            <w:pPr>
              <w:rPr>
                <w:rFonts w:cs="Tahoma"/>
              </w:rPr>
            </w:pPr>
            <w:r w:rsidRPr="007E67B8">
              <w:rPr>
                <w:rFonts w:eastAsia="Times New Roman" w:cs="Tahoma"/>
                <w:szCs w:val="18"/>
                <w:lang w:eastAsia="en-CA"/>
              </w:rPr>
              <w:t>Annual Electricity (kWh)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C5D3316" w14:textId="77777777" w:rsidR="007E67B8" w:rsidRPr="007E67B8" w:rsidRDefault="007E67B8" w:rsidP="005111D9">
            <w:pPr>
              <w:rPr>
                <w:rFonts w:cs="Tahom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E7DB7D8" w14:textId="77777777" w:rsidR="007E67B8" w:rsidRPr="007E67B8" w:rsidRDefault="007E67B8" w:rsidP="005111D9">
            <w:pPr>
              <w:rPr>
                <w:rFonts w:cs="Tahom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802C631" w14:textId="77777777" w:rsidR="007E67B8" w:rsidRPr="007E67B8" w:rsidRDefault="007E67B8" w:rsidP="005111D9">
            <w:pPr>
              <w:rPr>
                <w:rFonts w:cs="Tahoma"/>
              </w:rPr>
            </w:pPr>
          </w:p>
        </w:tc>
      </w:tr>
      <w:tr w:rsidR="007E67B8" w:rsidRPr="00D07F9C" w14:paraId="2A3EE1E3" w14:textId="77777777" w:rsidTr="007E67B8">
        <w:trPr>
          <w:trHeight w:val="432"/>
        </w:trPr>
        <w:tc>
          <w:tcPr>
            <w:tcW w:w="3055" w:type="dxa"/>
            <w:shd w:val="clear" w:color="auto" w:fill="auto"/>
            <w:vAlign w:val="center"/>
          </w:tcPr>
          <w:p w14:paraId="3E95E559" w14:textId="77777777" w:rsidR="007E67B8" w:rsidRPr="007E67B8" w:rsidRDefault="007E67B8" w:rsidP="005111D9">
            <w:pPr>
              <w:rPr>
                <w:rFonts w:cs="Tahoma"/>
              </w:rPr>
            </w:pPr>
            <w:r w:rsidRPr="007E67B8">
              <w:rPr>
                <w:rFonts w:eastAsia="Times New Roman" w:cs="Tahoma"/>
                <w:szCs w:val="18"/>
                <w:lang w:eastAsia="en-CA"/>
              </w:rPr>
              <w:t>Effective Useful Life (EUL)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8C673E" w14:textId="77777777" w:rsidR="007E67B8" w:rsidRPr="007E67B8" w:rsidRDefault="007E67B8" w:rsidP="005111D9">
            <w:pPr>
              <w:rPr>
                <w:rFonts w:eastAsia="Times New Roman" w:cs="Tahoma"/>
                <w:szCs w:val="18"/>
                <w:lang w:eastAsia="en-CA"/>
              </w:rPr>
            </w:pPr>
            <w:r w:rsidRPr="007E67B8">
              <w:rPr>
                <w:rFonts w:eastAsia="Times New Roman" w:cs="Tahoma"/>
                <w:szCs w:val="18"/>
                <w:lang w:eastAsia="en-CA"/>
              </w:rPr>
              <w:t>N/A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0617C2F" w14:textId="77777777" w:rsidR="007E67B8" w:rsidRPr="007E67B8" w:rsidRDefault="007E67B8" w:rsidP="005111D9">
            <w:pPr>
              <w:rPr>
                <w:rFonts w:eastAsia="Times New Roman" w:cs="Tahoma"/>
                <w:szCs w:val="18"/>
                <w:lang w:eastAsia="en-C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6E5D591" w14:textId="77777777" w:rsidR="007E67B8" w:rsidRPr="007E67B8" w:rsidRDefault="007E67B8" w:rsidP="005111D9">
            <w:pPr>
              <w:rPr>
                <w:rFonts w:eastAsia="Times New Roman" w:cs="Tahoma"/>
                <w:szCs w:val="18"/>
                <w:lang w:eastAsia="en-CA"/>
              </w:rPr>
            </w:pPr>
            <w:r w:rsidRPr="007E67B8">
              <w:rPr>
                <w:rFonts w:eastAsia="Times New Roman" w:cs="Tahoma"/>
                <w:szCs w:val="18"/>
                <w:lang w:eastAsia="en-CA"/>
              </w:rPr>
              <w:t>N/A</w:t>
            </w:r>
          </w:p>
        </w:tc>
      </w:tr>
    </w:tbl>
    <w:p w14:paraId="43B2DCD0" w14:textId="3B0B05A5" w:rsidR="007E67B8" w:rsidRDefault="007E67B8" w:rsidP="007E67B8">
      <w:pPr>
        <w:pStyle w:val="BodyText"/>
        <w:rPr>
          <w:lang w:eastAsia="en-US"/>
        </w:rPr>
      </w:pPr>
    </w:p>
    <w:p w14:paraId="3A769751" w14:textId="77777777" w:rsidR="007E67B8" w:rsidRPr="007E67B8" w:rsidRDefault="007E67B8" w:rsidP="007E67B8">
      <w:pPr>
        <w:pStyle w:val="BodyText"/>
        <w:rPr>
          <w:lang w:eastAsia="en-US"/>
        </w:rPr>
      </w:pPr>
    </w:p>
    <w:p w14:paraId="13EA55F7" w14:textId="1F655FFA" w:rsidR="00B735EE" w:rsidRDefault="00B735EE" w:rsidP="00B735EE">
      <w:pPr>
        <w:pStyle w:val="BodyText"/>
        <w:rPr>
          <w:lang w:eastAsia="en-US"/>
        </w:rPr>
      </w:pPr>
    </w:p>
    <w:p w14:paraId="0F1FBF82" w14:textId="77777777" w:rsidR="00B735EE" w:rsidRDefault="00B735EE">
      <w:pPr>
        <w:spacing w:after="0" w:line="240" w:lineRule="auto"/>
        <w:rPr>
          <w:noProof/>
          <w:color w:val="000000" w:themeColor="text1"/>
          <w:u w:color="8CD2F3" w:themeColor="background2"/>
          <w14:numForm w14:val="lining"/>
          <w14:numSpacing w14:val="tabular"/>
        </w:rPr>
      </w:pPr>
      <w:r>
        <w:br w:type="page"/>
      </w:r>
    </w:p>
    <w:p w14:paraId="24DDC572" w14:textId="30E00AEA" w:rsidR="00B735EE" w:rsidRDefault="00B735EE" w:rsidP="00B735EE">
      <w:pPr>
        <w:pStyle w:val="Heading2"/>
      </w:pPr>
      <w:r w:rsidRPr="00B735EE">
        <w:lastRenderedPageBreak/>
        <w:t>Resource Savings Calculations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7E67B8" w:rsidRPr="00D07F9C" w14:paraId="26B8B3B2" w14:textId="77777777" w:rsidTr="007E67B8">
        <w:tc>
          <w:tcPr>
            <w:tcW w:w="10188" w:type="dxa"/>
            <w:tcBorders>
              <w:right w:val="single" w:sz="4" w:space="0" w:color="auto"/>
            </w:tcBorders>
            <w:shd w:val="clear" w:color="auto" w:fill="auto"/>
          </w:tcPr>
          <w:p w14:paraId="7E4E8E5E" w14:textId="77777777" w:rsidR="007E67B8" w:rsidRPr="00D07F9C" w:rsidRDefault="007E67B8" w:rsidP="007E67B8">
            <w:pPr>
              <w:rPr>
                <w:rFonts w:ascii="Arial Black" w:eastAsia="Times New Roman" w:hAnsi="Arial Black" w:cs="Times New Roman"/>
                <w:b/>
                <w:color w:val="FFFFFF"/>
                <w:sz w:val="24"/>
                <w:lang w:eastAsia="en-CA"/>
              </w:rPr>
            </w:pPr>
            <w:r w:rsidRPr="007E67B8"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  <w:t>Annual Energy Savings</w:t>
            </w:r>
          </w:p>
        </w:tc>
      </w:tr>
      <w:tr w:rsidR="007E67B8" w:rsidRPr="00D07F9C" w14:paraId="28C9C475" w14:textId="77777777" w:rsidTr="007E67B8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14:paraId="16D27DC5" w14:textId="77777777" w:rsidR="007E67B8" w:rsidRPr="007E67B8" w:rsidRDefault="007E67B8" w:rsidP="007E67B8">
            <w:pPr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</w:pPr>
            <w:r w:rsidRPr="007E67B8"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  <w:t>Base Measure Calculation:</w:t>
            </w:r>
          </w:p>
          <w:p w14:paraId="242FBAB2" w14:textId="77777777" w:rsidR="007E67B8" w:rsidRPr="007E67B8" w:rsidRDefault="007E67B8" w:rsidP="005111D9">
            <w:pPr>
              <w:spacing w:before="60" w:after="60" w:line="240" w:lineRule="auto"/>
              <w:rPr>
                <w:rFonts w:eastAsia="Times New Roman" w:cs="Tahoma"/>
                <w:b/>
                <w:szCs w:val="18"/>
                <w:u w:val="single"/>
              </w:rPr>
            </w:pPr>
          </w:p>
          <w:p w14:paraId="561A071E" w14:textId="77777777" w:rsidR="007E67B8" w:rsidRPr="007E67B8" w:rsidRDefault="007E67B8" w:rsidP="005111D9">
            <w:pPr>
              <w:spacing w:before="60" w:after="60" w:line="240" w:lineRule="auto"/>
              <w:rPr>
                <w:rFonts w:eastAsia="Times New Roman" w:cs="Tahoma"/>
                <w:b/>
                <w:szCs w:val="18"/>
                <w:u w:val="single"/>
              </w:rPr>
            </w:pPr>
          </w:p>
          <w:p w14:paraId="3F8FFC8A" w14:textId="77777777" w:rsidR="007E67B8" w:rsidRPr="007E67B8" w:rsidRDefault="007E67B8" w:rsidP="007E67B8">
            <w:pPr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</w:pPr>
            <w:r w:rsidRPr="007E67B8"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  <w:t>Conservation Measure Calculation:</w:t>
            </w:r>
          </w:p>
          <w:p w14:paraId="11D81087" w14:textId="77777777" w:rsidR="007E67B8" w:rsidRPr="007E67B8" w:rsidRDefault="007E67B8" w:rsidP="005111D9">
            <w:pPr>
              <w:spacing w:before="60" w:after="60" w:line="240" w:lineRule="auto"/>
              <w:rPr>
                <w:rFonts w:eastAsia="Times New Roman" w:cs="Tahoma"/>
                <w:b/>
                <w:szCs w:val="18"/>
              </w:rPr>
            </w:pPr>
          </w:p>
          <w:p w14:paraId="28FECF14" w14:textId="77777777" w:rsidR="007E67B8" w:rsidRPr="007E67B8" w:rsidRDefault="007E67B8" w:rsidP="005111D9">
            <w:pPr>
              <w:spacing w:before="60" w:after="60" w:line="240" w:lineRule="auto"/>
              <w:rPr>
                <w:rFonts w:eastAsia="Times New Roman" w:cs="Tahoma"/>
                <w:szCs w:val="18"/>
                <w:u w:val="single"/>
              </w:rPr>
            </w:pPr>
          </w:p>
          <w:p w14:paraId="525B0968" w14:textId="77777777" w:rsidR="007E67B8" w:rsidRPr="007E67B8" w:rsidRDefault="007E67B8" w:rsidP="007E67B8">
            <w:pPr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</w:pPr>
            <w:r w:rsidRPr="007E67B8"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  <w:t>Energy Savings Calculation:</w:t>
            </w:r>
          </w:p>
          <w:p w14:paraId="0984BE24" w14:textId="77777777" w:rsidR="007E67B8" w:rsidRPr="007E67B8" w:rsidRDefault="007E67B8" w:rsidP="005111D9">
            <w:pPr>
              <w:spacing w:before="60" w:after="60" w:line="240" w:lineRule="auto"/>
              <w:rPr>
                <w:rFonts w:eastAsia="Times New Roman" w:cs="Tahoma"/>
                <w:szCs w:val="18"/>
                <w:u w:val="single"/>
              </w:rPr>
            </w:pPr>
          </w:p>
          <w:p w14:paraId="447F1902" w14:textId="77777777" w:rsidR="007E67B8" w:rsidRPr="007E67B8" w:rsidRDefault="007E67B8" w:rsidP="005111D9">
            <w:pPr>
              <w:spacing w:before="60" w:after="60" w:line="240" w:lineRule="auto"/>
              <w:rPr>
                <w:rFonts w:eastAsia="Times New Roman" w:cs="Tahoma"/>
                <w:szCs w:val="18"/>
                <w:u w:val="single"/>
              </w:rPr>
            </w:pPr>
          </w:p>
          <w:p w14:paraId="5AEF48D4" w14:textId="77777777" w:rsidR="007E67B8" w:rsidRPr="00D07F9C" w:rsidRDefault="007E67B8" w:rsidP="005111D9">
            <w:pPr>
              <w:spacing w:before="60" w:after="60" w:line="240" w:lineRule="auto"/>
              <w:rPr>
                <w:snapToGrid w:val="0"/>
                <w:color w:val="000000"/>
                <w:sz w:val="18"/>
                <w:szCs w:val="18"/>
              </w:rPr>
            </w:pPr>
          </w:p>
        </w:tc>
      </w:tr>
      <w:tr w:rsidR="007E67B8" w:rsidRPr="00D07F9C" w14:paraId="2FA92153" w14:textId="77777777" w:rsidTr="007E67B8">
        <w:trPr>
          <w:trHeight w:val="287"/>
        </w:trPr>
        <w:tc>
          <w:tcPr>
            <w:tcW w:w="10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2955E" w14:textId="77777777" w:rsidR="007E67B8" w:rsidRPr="00D07F9C" w:rsidRDefault="007E67B8" w:rsidP="007E67B8">
            <w:pPr>
              <w:rPr>
                <w:rFonts w:ascii="Arial Black" w:eastAsia="Times New Roman" w:hAnsi="Arial Black" w:cs="Times New Roman"/>
                <w:b/>
                <w:color w:val="FFFFFF"/>
                <w:sz w:val="24"/>
                <w:lang w:eastAsia="en-CA"/>
              </w:rPr>
            </w:pPr>
            <w:r w:rsidRPr="007E67B8"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  <w:t>Demand Savings – EE Capacity</w:t>
            </w:r>
            <w:r w:rsidRPr="00D07F9C">
              <w:rPr>
                <w:rFonts w:ascii="Arial Black" w:eastAsia="Times New Roman" w:hAnsi="Arial Black" w:cs="Times New Roman"/>
                <w:b/>
                <w:color w:val="FFFFFF"/>
                <w:sz w:val="24"/>
                <w:lang w:eastAsia="en-CA"/>
              </w:rPr>
              <w:t xml:space="preserve"> </w:t>
            </w:r>
          </w:p>
        </w:tc>
      </w:tr>
      <w:tr w:rsidR="007E67B8" w:rsidRPr="00D07F9C" w14:paraId="737D55E0" w14:textId="77777777" w:rsidTr="007E67B8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02F65" w14:textId="77777777" w:rsidR="007E67B8" w:rsidRPr="007E67B8" w:rsidRDefault="007E67B8" w:rsidP="005111D9">
            <w:pPr>
              <w:spacing w:before="60" w:after="60" w:line="240" w:lineRule="auto"/>
              <w:rPr>
                <w:rFonts w:cs="Tahoma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</w:pPr>
            <w:r w:rsidRPr="007E67B8">
              <w:rPr>
                <w:rFonts w:cs="Tahoma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  <w:t xml:space="preserve">Summer/Winter Peak Demand Savings </w:t>
            </w:r>
          </w:p>
          <w:p w14:paraId="3E5BD143" w14:textId="77777777" w:rsidR="007E67B8" w:rsidRDefault="007E67B8" w:rsidP="005111D9">
            <w:pPr>
              <w:spacing w:before="60" w:after="60" w:line="240" w:lineRule="auto"/>
              <w:rPr>
                <w:rFonts w:eastAsia="Times New Roman" w:cs="Tahoma"/>
                <w:szCs w:val="18"/>
                <w:lang w:eastAsia="en-CA"/>
              </w:rPr>
            </w:pPr>
          </w:p>
          <w:p w14:paraId="18D6D8B0" w14:textId="529F2503" w:rsidR="007E67B8" w:rsidRPr="007E67B8" w:rsidRDefault="007E67B8" w:rsidP="005111D9">
            <w:pPr>
              <w:spacing w:before="60" w:after="60" w:line="240" w:lineRule="auto"/>
              <w:rPr>
                <w:rFonts w:eastAsia="Times New Roman" w:cs="Tahoma"/>
                <w:szCs w:val="18"/>
                <w:lang w:eastAsia="en-CA"/>
              </w:rPr>
            </w:pPr>
            <w:r w:rsidRPr="007E67B8">
              <w:rPr>
                <w:rFonts w:eastAsia="Times New Roman" w:cs="Tahoma"/>
                <w:szCs w:val="18"/>
                <w:lang w:eastAsia="en-CA"/>
              </w:rPr>
              <w:t>Winter/summer peak demand savings are calculated with the following formula:</w:t>
            </w:r>
          </w:p>
          <w:p w14:paraId="054384C0" w14:textId="77777777" w:rsidR="007E67B8" w:rsidRPr="00D07F9C" w:rsidRDefault="007E67B8" w:rsidP="005111D9">
            <w:pPr>
              <w:spacing w:before="60" w:after="60" w:line="240" w:lineRule="auto"/>
              <w:rPr>
                <w:rFonts w:ascii="Arial" w:eastAsia="Times New Roman" w:hAnsi="Arial" w:cs="Arial"/>
                <w:szCs w:val="18"/>
                <w:lang w:eastAsia="en-CA"/>
              </w:rPr>
            </w:pPr>
          </w:p>
          <w:p w14:paraId="0A485EB1" w14:textId="77777777" w:rsidR="007E67B8" w:rsidRPr="007E67B8" w:rsidRDefault="007E67B8" w:rsidP="005111D9">
            <w:pPr>
              <w:spacing w:before="60" w:after="60" w:line="240" w:lineRule="auto"/>
              <w:rPr>
                <w:rFonts w:eastAsia="Times New Roman" w:cs="Tahoma"/>
                <w:sz w:val="1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14"/>
                  </w:rPr>
                  <m:t xml:space="preserve">EEAP Summer Peak Demand Savings 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14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14"/>
                      </w:rPr>
                      <m:t>kW</m:t>
                    </m:r>
                  </m:e>
                </m:d>
                <m:r>
                  <w:rPr>
                    <w:rFonts w:ascii="Cambria Math" w:hAnsi="Cambria Math" w:cs="Tahoma"/>
                    <w:sz w:val="14"/>
                  </w:rPr>
                  <m:t xml:space="preserve">=Annualized energy savings 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14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14"/>
                      </w:rPr>
                      <m:t>kWh</m:t>
                    </m:r>
                  </m:e>
                </m:d>
                <m:r>
                  <w:rPr>
                    <w:rFonts w:ascii="Cambria Math" w:hAnsi="Cambria Math" w:cs="Tahoma"/>
                    <w:sz w:val="14"/>
                  </w:rPr>
                  <m:t>*Summer Peak Demand factor</m:t>
                </m:r>
              </m:oMath>
            </m:oMathPara>
          </w:p>
          <w:p w14:paraId="156574D6" w14:textId="77777777" w:rsidR="007E67B8" w:rsidRPr="007E67B8" w:rsidRDefault="007E67B8" w:rsidP="005111D9">
            <w:pPr>
              <w:ind w:left="2681"/>
              <w:rPr>
                <w:rFonts w:eastAsiaTheme="minorEastAsia" w:cs="Tahoma"/>
              </w:rPr>
            </w:pPr>
            <w:r w:rsidRPr="007E67B8">
              <w:rPr>
                <w:rFonts w:eastAsiaTheme="minorEastAsia" w:cs="Tahoma"/>
                <w:i/>
                <w:sz w:val="14"/>
              </w:rPr>
              <w:t>=</w:t>
            </w:r>
            <m:oMath>
              <m:r>
                <w:rPr>
                  <w:rFonts w:ascii="Cambria Math" w:eastAsiaTheme="minorEastAsia" w:hAnsi="Cambria Math" w:cs="Tahoma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</w:rPr>
                        <m:t xml:space="preserve">kWh(June 1 to August 31, non-holiday weekdays,  hour ending 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18"/>
                              <w:szCs w:val="18"/>
                            </w:rPr>
                            <m:t>HE</m:t>
                          </m:r>
                        </m:e>
                      </m:d>
                      <m:r>
                        <w:rPr>
                          <w:rFonts w:ascii="Cambria Math" w:hAnsi="Cambria Math" w:cs="Tahoma"/>
                          <w:sz w:val="18"/>
                          <w:szCs w:val="18"/>
                        </w:rPr>
                        <m:t xml:space="preserve"> 13-21)</m:t>
                      </m:r>
                    </m:e>
                  </m:nary>
                </m:num>
                <m:den>
                  <m:r>
                    <w:rPr>
                      <w:rFonts w:ascii="Cambria Math" w:hAnsi="Cambria Math" w:cs="Tahoma"/>
                      <w:sz w:val="18"/>
                      <w:szCs w:val="18"/>
                    </w:rPr>
                    <m:t xml:space="preserve">594 </m:t>
                  </m:r>
                  <m:r>
                    <w:rPr>
                      <w:rFonts w:ascii="Cambria Math" w:hAnsi="Cambria Math" w:cs="Tahoma"/>
                      <w:sz w:val="18"/>
                      <w:szCs w:val="18"/>
                    </w:rPr>
                    <m:t>hours</m:t>
                  </m:r>
                </m:den>
              </m:f>
            </m:oMath>
          </w:p>
          <w:p w14:paraId="703FE29F" w14:textId="77777777" w:rsidR="007E67B8" w:rsidRPr="007E67B8" w:rsidRDefault="007E67B8" w:rsidP="005111D9">
            <w:pPr>
              <w:rPr>
                <w:rFonts w:eastAsiaTheme="minorEastAsia" w:cs="Tahoma"/>
                <w:sz w:val="14"/>
              </w:rPr>
            </w:pPr>
            <w:r w:rsidRPr="007E67B8">
              <w:rPr>
                <w:rFonts w:eastAsiaTheme="minorEastAsia" w:cs="Tahoma"/>
                <w:sz w:val="14"/>
              </w:rPr>
              <w:t xml:space="preserve"> </w:t>
            </w:r>
          </w:p>
          <w:p w14:paraId="5DE5E665" w14:textId="77777777" w:rsidR="007E67B8" w:rsidRPr="007E67B8" w:rsidRDefault="007E67B8" w:rsidP="005111D9">
            <w:pPr>
              <w:rPr>
                <w:rFonts w:eastAsiaTheme="minorEastAsia" w:cs="Tahoma"/>
                <w:sz w:val="1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14"/>
                  </w:rPr>
                  <m:t xml:space="preserve">EEAP Winter Peak Demand Savings 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14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14"/>
                      </w:rPr>
                      <m:t>kW</m:t>
                    </m:r>
                  </m:e>
                </m:d>
                <m:r>
                  <w:rPr>
                    <w:rFonts w:ascii="Cambria Math" w:hAnsi="Cambria Math" w:cs="Tahoma"/>
                    <w:sz w:val="14"/>
                  </w:rPr>
                  <m:t xml:space="preserve">=Annualized energy savings 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14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14"/>
                      </w:rPr>
                      <m:t>kWh</m:t>
                    </m:r>
                  </m:e>
                </m:d>
                <m:r>
                  <w:rPr>
                    <w:rFonts w:ascii="Cambria Math" w:hAnsi="Cambria Math" w:cs="Tahoma"/>
                    <w:sz w:val="14"/>
                  </w:rPr>
                  <m:t xml:space="preserve">*Winter Peak Demand factor </m:t>
                </m:r>
                <m:r>
                  <m:rPr>
                    <m:aln/>
                  </m:rPr>
                  <w:rPr>
                    <w:rFonts w:ascii="Cambria Math" w:hAnsi="Cambria Math" w:cs="Tahoma"/>
                    <w:sz w:val="1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14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ahoma"/>
                            <w:i/>
                            <w:sz w:val="1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Tahoma"/>
                            <w:sz w:val="14"/>
                          </w:rPr>
                          <m:t>kWh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1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14"/>
                              </w:rPr>
                              <m:t>November 1 to February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1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ahoma"/>
                                    <w:sz w:val="14"/>
                                  </w:rPr>
                                  <m:t>28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ahoma"/>
                                    <w:sz w:val="14"/>
                                  </w:rPr>
                                  <m:t>29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ahoma"/>
                                <w:sz w:val="14"/>
                              </w:rPr>
                              <m:t xml:space="preserve">, non-holiday weekdays,  hour ending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1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ahoma"/>
                                    <w:sz w:val="14"/>
                                  </w:rPr>
                                  <m:t>HE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ahoma"/>
                                <w:sz w:val="14"/>
                              </w:rPr>
                              <m:t xml:space="preserve"> 17-21</m:t>
                            </m:r>
                          </m:e>
                        </m:d>
                      </m:e>
                    </m:nary>
                  </m:num>
                  <m:den>
                    <m:r>
                      <w:rPr>
                        <w:rFonts w:ascii="Cambria Math" w:hAnsi="Cambria Math" w:cs="Tahoma"/>
                        <w:sz w:val="14"/>
                      </w:rPr>
                      <m:t xml:space="preserve">425 </m:t>
                    </m:r>
                    <m:r>
                      <w:rPr>
                        <w:rFonts w:ascii="Cambria Math" w:hAnsi="Cambria Math" w:cs="Tahoma"/>
                        <w:sz w:val="14"/>
                      </w:rPr>
                      <m:t>hours</m:t>
                    </m:r>
                  </m:den>
                </m:f>
                <m:r>
                  <w:rPr>
                    <w:rFonts w:ascii="Cambria Math" w:hAnsi="Cambria Math" w:cs="Tahoma"/>
                    <w:sz w:val="14"/>
                  </w:rPr>
                  <m:t xml:space="preserve"> </m:t>
                </m:r>
              </m:oMath>
            </m:oMathPara>
          </w:p>
          <w:p w14:paraId="57C49B9D" w14:textId="77777777" w:rsidR="007E67B8" w:rsidRPr="007E67B8" w:rsidRDefault="007E67B8" w:rsidP="007E67B8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eastAsia="Times New Roman" w:cs="Tahoma"/>
                <w:szCs w:val="18"/>
                <w:lang w:eastAsia="en-CA"/>
              </w:rPr>
            </w:pPr>
            <w:r w:rsidRPr="007E67B8">
              <w:rPr>
                <w:rFonts w:eastAsia="Times New Roman" w:cs="Tahoma"/>
                <w:szCs w:val="18"/>
                <w:lang w:eastAsia="en-CA"/>
              </w:rPr>
              <w:t>The summer/winter peak demand factor is defined as the average demand of an 8760 load shape (normalized to 100%) during the Energy Efficiency demand reduction period and window.</w:t>
            </w:r>
          </w:p>
          <w:p w14:paraId="2C92B798" w14:textId="77777777" w:rsidR="007E67B8" w:rsidRPr="007E67B8" w:rsidRDefault="007E67B8" w:rsidP="007E67B8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eastAsia="Times New Roman" w:cs="Tahoma"/>
                <w:szCs w:val="18"/>
                <w:lang w:eastAsia="en-CA"/>
              </w:rPr>
            </w:pPr>
            <w:r w:rsidRPr="007E67B8">
              <w:rPr>
                <w:rFonts w:eastAsia="Times New Roman" w:cs="Tahoma"/>
                <w:szCs w:val="18"/>
                <w:lang w:eastAsia="en-CA"/>
              </w:rPr>
              <w:t>The number of hours under this period and window is 594 hours for the summer peak demand and 425 hours for the winter peak demand.</w:t>
            </w:r>
          </w:p>
          <w:p w14:paraId="139A08BB" w14:textId="77777777" w:rsidR="007E67B8" w:rsidRPr="007E67B8" w:rsidRDefault="007E67B8" w:rsidP="007E67B8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eastAsia="Times New Roman" w:cs="Tahoma"/>
                <w:szCs w:val="18"/>
                <w:lang w:eastAsia="en-CA"/>
              </w:rPr>
            </w:pPr>
            <w:r w:rsidRPr="007E67B8">
              <w:rPr>
                <w:rFonts w:eastAsia="Times New Roman" w:cs="Tahoma"/>
                <w:szCs w:val="18"/>
                <w:lang w:eastAsia="en-CA"/>
              </w:rPr>
              <w:t>The EEAP Summer/Winter Peak Demand Savings (kW) is calculated by multiplying the annual energy savings (kWh) by the peak demand factor</w:t>
            </w:r>
          </w:p>
          <w:p w14:paraId="174D9E7D" w14:textId="77777777" w:rsidR="007E67B8" w:rsidRPr="007E67B8" w:rsidRDefault="007E67B8" w:rsidP="007E67B8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rPr>
                <w:rFonts w:cs="Tahoma"/>
              </w:rPr>
            </w:pPr>
            <w:r w:rsidRPr="007E67B8">
              <w:rPr>
                <w:rFonts w:cs="Tahoma"/>
              </w:rPr>
              <w:t>Summer obligation period is June 1 to August 31, Non-holiday weekdays, Hour Ending (HE) 13-21 (12:00 pm – 9:00 pm EST, 1:00 pm -10:00 pm EDT)</w:t>
            </w:r>
          </w:p>
          <w:p w14:paraId="17C5EFDD" w14:textId="77777777" w:rsidR="007E67B8" w:rsidRPr="007E67B8" w:rsidRDefault="007E67B8" w:rsidP="007E67B8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rPr>
                <w:rFonts w:cs="Tahoma"/>
              </w:rPr>
            </w:pPr>
            <w:r w:rsidRPr="007E67B8">
              <w:rPr>
                <w:rFonts w:cs="Tahoma"/>
              </w:rPr>
              <w:t>Winter obligation period is November 1 to February 28, Non-holiday weekdays, Hour Ending (HE) 17-21 (4:00 pm – 9:00 pm EST)</w:t>
            </w:r>
          </w:p>
          <w:p w14:paraId="1F8FAB95" w14:textId="77777777" w:rsidR="007E67B8" w:rsidRDefault="007E67B8" w:rsidP="005111D9">
            <w:pPr>
              <w:spacing w:before="60" w:after="60" w:line="240" w:lineRule="auto"/>
              <w:rPr>
                <w:rFonts w:ascii="Arial" w:eastAsia="Times New Roman" w:hAnsi="Arial" w:cs="Arial"/>
                <w:szCs w:val="18"/>
                <w:lang w:eastAsia="en-CA"/>
              </w:rPr>
            </w:pPr>
          </w:p>
          <w:p w14:paraId="65B632BE" w14:textId="77777777" w:rsidR="007E67B8" w:rsidRPr="007E67B8" w:rsidRDefault="007E67B8" w:rsidP="005111D9">
            <w:pPr>
              <w:spacing w:before="60" w:after="60" w:line="240" w:lineRule="auto"/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</w:pPr>
            <w:r w:rsidRPr="007E67B8"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  <w:t>Summer Demand Savings Calculation:</w:t>
            </w:r>
          </w:p>
          <w:p w14:paraId="19C58508" w14:textId="77777777" w:rsidR="007E67B8" w:rsidRDefault="007E67B8" w:rsidP="005111D9">
            <w:pPr>
              <w:spacing w:before="60" w:after="60" w:line="240" w:lineRule="auto"/>
              <w:rPr>
                <w:rFonts w:ascii="Arial" w:eastAsia="Times New Roman" w:hAnsi="Arial" w:cs="Arial"/>
                <w:b/>
                <w:szCs w:val="18"/>
                <w:u w:val="single"/>
              </w:rPr>
            </w:pPr>
          </w:p>
          <w:p w14:paraId="498D4DDC" w14:textId="77777777" w:rsidR="007E67B8" w:rsidRDefault="007E67B8" w:rsidP="005111D9">
            <w:pPr>
              <w:spacing w:before="60" w:after="60" w:line="240" w:lineRule="auto"/>
              <w:rPr>
                <w:rFonts w:ascii="Arial" w:eastAsia="Times New Roman" w:hAnsi="Arial" w:cs="Arial"/>
                <w:b/>
                <w:szCs w:val="18"/>
                <w:u w:val="single"/>
              </w:rPr>
            </w:pPr>
          </w:p>
          <w:p w14:paraId="0FA35668" w14:textId="77777777" w:rsidR="007E67B8" w:rsidRPr="007E67B8" w:rsidRDefault="007E67B8" w:rsidP="005111D9">
            <w:pPr>
              <w:spacing w:before="60" w:after="60" w:line="240" w:lineRule="auto"/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</w:pPr>
            <w:r w:rsidRPr="007E67B8"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  <w:t>Winter Demand Savings Calculation:</w:t>
            </w:r>
          </w:p>
          <w:p w14:paraId="08369AAB" w14:textId="77777777" w:rsidR="007E67B8" w:rsidRDefault="007E67B8" w:rsidP="005111D9">
            <w:pPr>
              <w:spacing w:before="60" w:after="60" w:line="240" w:lineRule="auto"/>
              <w:rPr>
                <w:rFonts w:ascii="Arial" w:eastAsia="Times New Roman" w:hAnsi="Arial" w:cs="Arial"/>
                <w:b/>
                <w:szCs w:val="18"/>
                <w:u w:val="single"/>
              </w:rPr>
            </w:pPr>
          </w:p>
          <w:p w14:paraId="333E2E27" w14:textId="77777777" w:rsidR="007E67B8" w:rsidRPr="00D07F9C" w:rsidRDefault="007E67B8" w:rsidP="005111D9">
            <w:pPr>
              <w:spacing w:before="60" w:after="60" w:line="240" w:lineRule="auto"/>
              <w:rPr>
                <w:rFonts w:ascii="Arial" w:eastAsia="Times New Roman" w:hAnsi="Arial" w:cs="Arial"/>
                <w:szCs w:val="18"/>
                <w:lang w:eastAsia="en-CA"/>
              </w:rPr>
            </w:pPr>
            <w:bookmarkStart w:id="0" w:name="_GoBack"/>
            <w:bookmarkEnd w:id="0"/>
          </w:p>
        </w:tc>
      </w:tr>
    </w:tbl>
    <w:p w14:paraId="27D24FF8" w14:textId="77777777" w:rsidR="007E67B8" w:rsidRPr="007E67B8" w:rsidRDefault="007E67B8" w:rsidP="00B735EE">
      <w:pPr>
        <w:spacing w:before="240" w:after="120"/>
        <w:rPr>
          <w:rFonts w:eastAsiaTheme="majorEastAsia" w:cs="Times New Roman (Headings CS)"/>
          <w:color w:val="003366" w:themeColor="text2"/>
          <w:kern w:val="2"/>
          <w:szCs w:val="22"/>
          <w14:ligatures w14:val="standard"/>
          <w14:numForm w14:val="lining"/>
          <w14:numSpacing w14:val="tabular"/>
        </w:rPr>
      </w:pPr>
    </w:p>
    <w:p w14:paraId="278D1036" w14:textId="23E1C86A" w:rsidR="00B735EE" w:rsidRPr="007E67B8" w:rsidRDefault="00B735EE" w:rsidP="00B735EE">
      <w:pPr>
        <w:spacing w:before="240" w:after="120"/>
        <w:rPr>
          <w:rFonts w:eastAsiaTheme="majorEastAsia" w:cs="Times New Roman (Headings CS)"/>
          <w:color w:val="003366" w:themeColor="text2"/>
          <w:kern w:val="2"/>
          <w:sz w:val="44"/>
          <w:szCs w:val="26"/>
          <w14:ligatures w14:val="standard"/>
          <w14:numForm w14:val="lining"/>
          <w14:numSpacing w14:val="tabular"/>
        </w:rPr>
      </w:pPr>
      <w:r w:rsidRPr="007E67B8">
        <w:rPr>
          <w:rFonts w:eastAsiaTheme="majorEastAsia" w:cs="Times New Roman (Headings CS)"/>
          <w:color w:val="003366" w:themeColor="text2"/>
          <w:kern w:val="2"/>
          <w:sz w:val="44"/>
          <w:szCs w:val="26"/>
          <w14:ligatures w14:val="standard"/>
          <w14:numForm w14:val="lining"/>
          <w14:numSpacing w14:val="tabular"/>
        </w:rPr>
        <w:t>Seasonal Energy Savings Pattern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5"/>
        <w:gridCol w:w="810"/>
        <w:gridCol w:w="810"/>
      </w:tblGrid>
      <w:tr w:rsidR="00B735EE" w:rsidRPr="00D07F9C" w14:paraId="7E0F06C3" w14:textId="77777777" w:rsidTr="005111D9"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3A74E" w14:textId="77777777" w:rsidR="00B735EE" w:rsidRDefault="00B735EE" w:rsidP="005111D9">
            <w:pPr>
              <w:spacing w:before="60" w:after="60" w:line="240" w:lineRule="auto"/>
              <w:rPr>
                <w:rFonts w:ascii="Arial" w:eastAsia="Times New Roman" w:hAnsi="Arial" w:cs="Arial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szCs w:val="18"/>
                <w:lang w:eastAsia="en-CA"/>
              </w:rPr>
              <w:t>Provide</w:t>
            </w:r>
            <w:r w:rsidRPr="007D32D2">
              <w:rPr>
                <w:rFonts w:ascii="Arial" w:eastAsia="Times New Roman" w:hAnsi="Arial" w:cs="Arial"/>
                <w:szCs w:val="18"/>
                <w:lang w:eastAsia="en-CA"/>
              </w:rPr>
              <w:t xml:space="preserve"> an hourly (8760) annual load profile created from metered data or from a</w:t>
            </w:r>
            <w:r>
              <w:rPr>
                <w:rFonts w:ascii="Arial" w:eastAsia="Times New Roman" w:hAnsi="Arial" w:cs="Arial"/>
                <w:szCs w:val="18"/>
                <w:lang w:eastAsia="en-CA"/>
              </w:rPr>
              <w:t xml:space="preserve"> v</w:t>
            </w:r>
            <w:r w:rsidRPr="007D32D2">
              <w:rPr>
                <w:rFonts w:ascii="Arial" w:eastAsia="Times New Roman" w:hAnsi="Arial" w:cs="Arial"/>
                <w:szCs w:val="18"/>
                <w:lang w:eastAsia="en-CA"/>
              </w:rPr>
              <w:t>erified operating schedule. If unavailable, a description of the operating hours during weekdays and weekends for different seasons will be considered</w:t>
            </w:r>
            <w:r>
              <w:rPr>
                <w:rFonts w:ascii="Arial" w:eastAsia="Times New Roman" w:hAnsi="Arial" w:cs="Arial"/>
                <w:szCs w:val="18"/>
                <w:lang w:eastAsia="en-CA"/>
              </w:rPr>
              <w:t>.</w:t>
            </w:r>
          </w:p>
          <w:p w14:paraId="2C264450" w14:textId="77777777" w:rsidR="00B735EE" w:rsidRDefault="00B735EE" w:rsidP="005111D9">
            <w:pPr>
              <w:spacing w:before="60" w:after="60" w:line="240" w:lineRule="auto"/>
              <w:rPr>
                <w:rFonts w:cs="Tahoma"/>
                <w:sz w:val="18"/>
                <w:szCs w:val="18"/>
              </w:rPr>
            </w:pPr>
          </w:p>
          <w:p w14:paraId="531776E5" w14:textId="77777777" w:rsidR="00B735EE" w:rsidRDefault="00B735EE" w:rsidP="005111D9">
            <w:pPr>
              <w:spacing w:before="60" w:after="60" w:line="240" w:lineRule="auto"/>
              <w:rPr>
                <w:rFonts w:cs="Tahoma"/>
                <w:sz w:val="18"/>
                <w:szCs w:val="18"/>
              </w:rPr>
            </w:pPr>
          </w:p>
          <w:p w14:paraId="4639141F" w14:textId="77777777" w:rsidR="00B735EE" w:rsidRPr="00D07F9C" w:rsidRDefault="00B735EE" w:rsidP="005111D9">
            <w:pPr>
              <w:spacing w:before="60" w:after="6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5B671" w14:textId="77777777" w:rsidR="00B735EE" w:rsidRPr="00D07F9C" w:rsidRDefault="00B735EE" w:rsidP="005111D9">
            <w:pPr>
              <w:spacing w:before="60" w:after="60"/>
              <w:rPr>
                <w:rFonts w:cs="Tahoma"/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4C3F9" w14:textId="77777777" w:rsidR="00B735EE" w:rsidRPr="00D07F9C" w:rsidRDefault="00B735EE" w:rsidP="005111D9">
            <w:pPr>
              <w:spacing w:before="60" w:after="60"/>
              <w:rPr>
                <w:rFonts w:cs="Tahoma"/>
                <w:sz w:val="16"/>
                <w:szCs w:val="18"/>
              </w:rPr>
            </w:pPr>
          </w:p>
        </w:tc>
      </w:tr>
    </w:tbl>
    <w:p w14:paraId="68A97213" w14:textId="77777777" w:rsidR="007E67B8" w:rsidRPr="007E67B8" w:rsidRDefault="007E67B8" w:rsidP="00B735EE">
      <w:pPr>
        <w:spacing w:before="240" w:after="120"/>
        <w:rPr>
          <w:rFonts w:eastAsiaTheme="majorEastAsia" w:cs="Times New Roman (Headings CS)"/>
          <w:color w:val="003366" w:themeColor="text2"/>
          <w:kern w:val="2"/>
          <w:szCs w:val="22"/>
          <w14:ligatures w14:val="standard"/>
          <w14:numForm w14:val="lining"/>
          <w14:numSpacing w14:val="tabular"/>
        </w:rPr>
      </w:pPr>
    </w:p>
    <w:p w14:paraId="218368D8" w14:textId="2375F75F" w:rsidR="00B735EE" w:rsidRDefault="00B735EE" w:rsidP="00B735EE">
      <w:pPr>
        <w:spacing w:before="240" w:after="120"/>
        <w:rPr>
          <w:rFonts w:eastAsiaTheme="majorEastAsia" w:cs="Times New Roman (Headings CS)"/>
          <w:color w:val="003366" w:themeColor="text2"/>
          <w:kern w:val="2"/>
          <w:sz w:val="44"/>
          <w:szCs w:val="26"/>
          <w14:ligatures w14:val="standard"/>
          <w14:numForm w14:val="lining"/>
          <w14:numSpacing w14:val="tabular"/>
        </w:rPr>
      </w:pPr>
      <w:r w:rsidRPr="007E67B8">
        <w:rPr>
          <w:rFonts w:eastAsiaTheme="majorEastAsia" w:cs="Times New Roman (Headings CS)"/>
          <w:color w:val="003366" w:themeColor="text2"/>
          <w:kern w:val="2"/>
          <w:sz w:val="44"/>
          <w:szCs w:val="26"/>
          <w14:ligatures w14:val="standard"/>
          <w14:numForm w14:val="lining"/>
          <w14:numSpacing w14:val="tabular"/>
        </w:rPr>
        <w:t>Sources for Resource Savings Assumptions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6930"/>
      </w:tblGrid>
      <w:tr w:rsidR="007E67B8" w:rsidRPr="007E67B8" w14:paraId="22FA91B1" w14:textId="77777777" w:rsidTr="007E67B8">
        <w:trPr>
          <w:trHeight w:val="337"/>
        </w:trPr>
        <w:tc>
          <w:tcPr>
            <w:tcW w:w="3235" w:type="dxa"/>
            <w:vMerge w:val="restart"/>
            <w:shd w:val="clear" w:color="auto" w:fill="auto"/>
            <w:vAlign w:val="center"/>
          </w:tcPr>
          <w:p w14:paraId="0EB1AAA8" w14:textId="77777777" w:rsidR="007E67B8" w:rsidRPr="007E67B8" w:rsidRDefault="007E67B8" w:rsidP="005111D9">
            <w:pPr>
              <w:spacing w:before="60" w:after="60" w:line="240" w:lineRule="auto"/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</w:pPr>
          </w:p>
        </w:tc>
        <w:tc>
          <w:tcPr>
            <w:tcW w:w="6930" w:type="dxa"/>
            <w:vMerge w:val="restart"/>
            <w:shd w:val="clear" w:color="auto" w:fill="auto"/>
            <w:vAlign w:val="center"/>
          </w:tcPr>
          <w:p w14:paraId="50ECAECB" w14:textId="77777777" w:rsidR="007E67B8" w:rsidRPr="007E67B8" w:rsidRDefault="007E67B8" w:rsidP="005111D9">
            <w:pPr>
              <w:spacing w:before="60" w:after="60" w:line="240" w:lineRule="auto"/>
              <w:jc w:val="center"/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</w:pPr>
            <w:r w:rsidRPr="007E67B8">
              <w:rPr>
                <w:rFonts w:ascii="Tahoma Bold" w:hAnsi="Tahoma Bold"/>
                <w:b/>
                <w:bCs/>
                <w:color w:val="000000" w:themeColor="text1"/>
                <w:sz w:val="16"/>
                <w14:ligatures w14:val="standard"/>
                <w14:numForm w14:val="lining"/>
                <w14:numSpacing w14:val="tabular"/>
              </w:rPr>
              <w:t>Source</w:t>
            </w:r>
          </w:p>
        </w:tc>
      </w:tr>
      <w:tr w:rsidR="007E67B8" w:rsidRPr="007E67B8" w14:paraId="67314159" w14:textId="77777777" w:rsidTr="007E67B8">
        <w:trPr>
          <w:trHeight w:val="420"/>
        </w:trPr>
        <w:tc>
          <w:tcPr>
            <w:tcW w:w="3235" w:type="dxa"/>
            <w:vMerge/>
            <w:shd w:val="clear" w:color="auto" w:fill="auto"/>
          </w:tcPr>
          <w:p w14:paraId="01B3F504" w14:textId="77777777" w:rsidR="007E67B8" w:rsidRPr="007E67B8" w:rsidRDefault="007E67B8" w:rsidP="005111D9">
            <w:pPr>
              <w:spacing w:before="60" w:after="60"/>
              <w:rPr>
                <w:rFonts w:cs="Tahoma"/>
                <w:color w:val="FFFFFF"/>
              </w:rPr>
            </w:pPr>
          </w:p>
        </w:tc>
        <w:tc>
          <w:tcPr>
            <w:tcW w:w="6930" w:type="dxa"/>
            <w:vMerge/>
            <w:shd w:val="clear" w:color="auto" w:fill="auto"/>
          </w:tcPr>
          <w:p w14:paraId="6FCB5964" w14:textId="77777777" w:rsidR="007E67B8" w:rsidRPr="007E67B8" w:rsidRDefault="007E67B8" w:rsidP="005111D9">
            <w:pPr>
              <w:spacing w:before="60" w:after="60"/>
              <w:jc w:val="center"/>
              <w:rPr>
                <w:rFonts w:cs="Tahoma"/>
                <w:color w:val="FFFFFF"/>
              </w:rPr>
            </w:pPr>
          </w:p>
        </w:tc>
      </w:tr>
      <w:tr w:rsidR="007E67B8" w:rsidRPr="007E67B8" w14:paraId="6AFB63E4" w14:textId="77777777" w:rsidTr="007E67B8">
        <w:tc>
          <w:tcPr>
            <w:tcW w:w="3235" w:type="dxa"/>
            <w:shd w:val="clear" w:color="auto" w:fill="auto"/>
            <w:vAlign w:val="center"/>
          </w:tcPr>
          <w:p w14:paraId="67A4D303" w14:textId="77777777" w:rsidR="007E67B8" w:rsidRPr="007E67B8" w:rsidRDefault="007E67B8" w:rsidP="005111D9">
            <w:pPr>
              <w:rPr>
                <w:rFonts w:cs="Tahoma"/>
                <w:b/>
                <w:color w:val="FFFFFF" w:themeColor="background1"/>
              </w:rPr>
            </w:pPr>
            <w:r w:rsidRPr="007E67B8">
              <w:rPr>
                <w:rFonts w:eastAsia="Times New Roman" w:cs="Tahoma"/>
                <w:szCs w:val="18"/>
                <w:lang w:eastAsia="en-CA"/>
              </w:rPr>
              <w:t>Summer Peak Demand (kW)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39401892" w14:textId="77777777" w:rsidR="007E67B8" w:rsidRPr="007E67B8" w:rsidRDefault="007E67B8" w:rsidP="005111D9">
            <w:pPr>
              <w:spacing w:before="60" w:after="60" w:line="240" w:lineRule="auto"/>
              <w:jc w:val="center"/>
              <w:rPr>
                <w:rFonts w:eastAsia="Times New Roman" w:cs="Tahoma"/>
                <w:sz w:val="18"/>
                <w:szCs w:val="18"/>
                <w:lang w:eastAsia="en-CA"/>
              </w:rPr>
            </w:pPr>
          </w:p>
        </w:tc>
      </w:tr>
      <w:tr w:rsidR="007E67B8" w:rsidRPr="007E67B8" w14:paraId="06B05930" w14:textId="77777777" w:rsidTr="007E67B8">
        <w:tc>
          <w:tcPr>
            <w:tcW w:w="3235" w:type="dxa"/>
            <w:shd w:val="clear" w:color="auto" w:fill="auto"/>
            <w:vAlign w:val="center"/>
          </w:tcPr>
          <w:p w14:paraId="49340D46" w14:textId="77777777" w:rsidR="007E67B8" w:rsidRPr="007E67B8" w:rsidRDefault="007E67B8" w:rsidP="005111D9">
            <w:pPr>
              <w:rPr>
                <w:rFonts w:eastAsia="Times New Roman" w:cs="Tahoma"/>
                <w:szCs w:val="18"/>
                <w:lang w:eastAsia="en-CA"/>
              </w:rPr>
            </w:pPr>
            <w:r w:rsidRPr="007E67B8">
              <w:rPr>
                <w:rFonts w:eastAsia="Times New Roman" w:cs="Tahoma"/>
                <w:szCs w:val="18"/>
                <w:lang w:eastAsia="en-CA"/>
              </w:rPr>
              <w:t>Winter Peak Demand (kW)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6CEE228C" w14:textId="77777777" w:rsidR="007E67B8" w:rsidRPr="007E67B8" w:rsidRDefault="007E67B8" w:rsidP="005111D9">
            <w:pPr>
              <w:spacing w:before="60" w:after="60" w:line="240" w:lineRule="auto"/>
              <w:jc w:val="center"/>
              <w:rPr>
                <w:rFonts w:eastAsia="Times New Roman" w:cs="Tahoma"/>
                <w:sz w:val="18"/>
                <w:szCs w:val="18"/>
                <w:lang w:eastAsia="en-CA"/>
              </w:rPr>
            </w:pPr>
          </w:p>
        </w:tc>
      </w:tr>
      <w:tr w:rsidR="007E67B8" w:rsidRPr="007E67B8" w14:paraId="283573D9" w14:textId="77777777" w:rsidTr="007E67B8">
        <w:tc>
          <w:tcPr>
            <w:tcW w:w="3235" w:type="dxa"/>
            <w:shd w:val="clear" w:color="auto" w:fill="auto"/>
            <w:vAlign w:val="center"/>
          </w:tcPr>
          <w:p w14:paraId="365A3186" w14:textId="77777777" w:rsidR="007E67B8" w:rsidRPr="007E67B8" w:rsidRDefault="007E67B8" w:rsidP="005111D9">
            <w:pPr>
              <w:rPr>
                <w:rFonts w:eastAsia="Times New Roman" w:cs="Tahoma"/>
                <w:szCs w:val="18"/>
                <w:lang w:eastAsia="en-CA"/>
              </w:rPr>
            </w:pPr>
            <w:r w:rsidRPr="007E67B8">
              <w:rPr>
                <w:rFonts w:eastAsia="Times New Roman" w:cs="Tahoma"/>
                <w:szCs w:val="18"/>
                <w:lang w:eastAsia="en-CA"/>
              </w:rPr>
              <w:t>Annual Electricity (kWh)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3D2AA62A" w14:textId="77777777" w:rsidR="007E67B8" w:rsidRPr="007E67B8" w:rsidRDefault="007E67B8" w:rsidP="005111D9">
            <w:pPr>
              <w:spacing w:before="60" w:after="60" w:line="240" w:lineRule="auto"/>
              <w:jc w:val="center"/>
              <w:rPr>
                <w:rFonts w:eastAsia="Times New Roman" w:cs="Tahoma"/>
                <w:sz w:val="18"/>
                <w:szCs w:val="18"/>
                <w:lang w:eastAsia="en-CA"/>
              </w:rPr>
            </w:pPr>
          </w:p>
        </w:tc>
      </w:tr>
      <w:tr w:rsidR="007E67B8" w:rsidRPr="007E67B8" w14:paraId="0BBA251F" w14:textId="77777777" w:rsidTr="007E67B8">
        <w:tc>
          <w:tcPr>
            <w:tcW w:w="3235" w:type="dxa"/>
            <w:shd w:val="clear" w:color="auto" w:fill="auto"/>
            <w:vAlign w:val="center"/>
          </w:tcPr>
          <w:p w14:paraId="25AA1676" w14:textId="77777777" w:rsidR="007E67B8" w:rsidRPr="007E67B8" w:rsidRDefault="007E67B8" w:rsidP="005111D9">
            <w:pPr>
              <w:rPr>
                <w:rFonts w:eastAsia="Times New Roman" w:cs="Tahoma"/>
                <w:szCs w:val="18"/>
                <w:lang w:eastAsia="en-CA"/>
              </w:rPr>
            </w:pPr>
            <w:r w:rsidRPr="007E67B8">
              <w:rPr>
                <w:rFonts w:eastAsia="Times New Roman" w:cs="Tahoma"/>
                <w:szCs w:val="18"/>
                <w:lang w:eastAsia="en-CA"/>
              </w:rPr>
              <w:t>Effective Useful Life (EUL)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092C836A" w14:textId="77777777" w:rsidR="007E67B8" w:rsidRPr="007E67B8" w:rsidRDefault="007E67B8" w:rsidP="005111D9">
            <w:pPr>
              <w:spacing w:before="60" w:after="60" w:line="240" w:lineRule="auto"/>
              <w:jc w:val="center"/>
              <w:rPr>
                <w:rFonts w:eastAsia="Times New Roman" w:cs="Tahoma"/>
                <w:sz w:val="18"/>
                <w:szCs w:val="18"/>
                <w:lang w:eastAsia="en-CA"/>
              </w:rPr>
            </w:pPr>
          </w:p>
        </w:tc>
      </w:tr>
    </w:tbl>
    <w:p w14:paraId="174932AA" w14:textId="77777777" w:rsidR="00B735EE" w:rsidRDefault="00B735EE" w:rsidP="00B735EE"/>
    <w:sectPr w:rsidR="00B735EE" w:rsidSect="003E040F">
      <w:footerReference w:type="default" r:id="rId8"/>
      <w:footerReference w:type="first" r:id="rId9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1A9B" w14:textId="77777777" w:rsidR="000C2127" w:rsidRDefault="000C2127" w:rsidP="00F83314">
      <w:r>
        <w:separator/>
      </w:r>
    </w:p>
    <w:p w14:paraId="3AEB81E1" w14:textId="77777777" w:rsidR="000C2127" w:rsidRDefault="000C2127"/>
  </w:endnote>
  <w:endnote w:type="continuationSeparator" w:id="0">
    <w:p w14:paraId="41775AF1" w14:textId="77777777" w:rsidR="000C2127" w:rsidRDefault="000C2127" w:rsidP="00F83314">
      <w:r>
        <w:continuationSeparator/>
      </w:r>
    </w:p>
    <w:p w14:paraId="1AE8AECA" w14:textId="77777777" w:rsidR="000C2127" w:rsidRDefault="000C21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0FB32D1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E67B8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A7CFF92" w14:textId="1D0B1FF3" w:rsidR="00C6016F" w:rsidRDefault="00C6016F" w:rsidP="007E67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044F5972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0E1EF48D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7E67B8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A90FF" w14:textId="77777777" w:rsidR="000C2127" w:rsidRDefault="000C2127">
      <w:r>
        <w:separator/>
      </w:r>
    </w:p>
  </w:footnote>
  <w:footnote w:type="continuationSeparator" w:id="0">
    <w:p w14:paraId="34F72BA7" w14:textId="77777777" w:rsidR="000C2127" w:rsidRDefault="000C2127" w:rsidP="00F83314">
      <w:r>
        <w:continuationSeparator/>
      </w:r>
    </w:p>
    <w:p w14:paraId="095288A7" w14:textId="77777777" w:rsidR="000C2127" w:rsidRDefault="000C21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B572B9D"/>
    <w:multiLevelType w:val="hybridMultilevel"/>
    <w:tmpl w:val="AB8A81BA"/>
    <w:lvl w:ilvl="0" w:tplc="3B0812B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927C2F"/>
    <w:multiLevelType w:val="hybridMultilevel"/>
    <w:tmpl w:val="DA70B0BC"/>
    <w:lvl w:ilvl="0" w:tplc="A3DCCA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4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4"/>
  </w:num>
  <w:num w:numId="17">
    <w:abstractNumId w:val="10"/>
  </w:num>
  <w:num w:numId="18">
    <w:abstractNumId w:val="27"/>
  </w:num>
  <w:num w:numId="19">
    <w:abstractNumId w:val="21"/>
  </w:num>
  <w:num w:numId="20">
    <w:abstractNumId w:val="29"/>
  </w:num>
  <w:num w:numId="21">
    <w:abstractNumId w:val="26"/>
  </w:num>
  <w:num w:numId="22">
    <w:abstractNumId w:val="31"/>
  </w:num>
  <w:num w:numId="23">
    <w:abstractNumId w:val="16"/>
  </w:num>
  <w:num w:numId="24">
    <w:abstractNumId w:val="18"/>
  </w:num>
  <w:num w:numId="25">
    <w:abstractNumId w:val="33"/>
  </w:num>
  <w:num w:numId="26">
    <w:abstractNumId w:val="13"/>
  </w:num>
  <w:num w:numId="27">
    <w:abstractNumId w:val="35"/>
  </w:num>
  <w:num w:numId="28">
    <w:abstractNumId w:val="17"/>
  </w:num>
  <w:num w:numId="29">
    <w:abstractNumId w:val="32"/>
  </w:num>
  <w:num w:numId="30">
    <w:abstractNumId w:val="15"/>
  </w:num>
  <w:num w:numId="31">
    <w:abstractNumId w:val="23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2FAC"/>
    <w:rsid w:val="0003386C"/>
    <w:rsid w:val="000424C0"/>
    <w:rsid w:val="00043811"/>
    <w:rsid w:val="000558BD"/>
    <w:rsid w:val="000617C1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2127"/>
    <w:rsid w:val="000C382A"/>
    <w:rsid w:val="000F12F2"/>
    <w:rsid w:val="000F55DA"/>
    <w:rsid w:val="00122D98"/>
    <w:rsid w:val="00123B6F"/>
    <w:rsid w:val="00164724"/>
    <w:rsid w:val="001708DC"/>
    <w:rsid w:val="00180C5F"/>
    <w:rsid w:val="00191D1F"/>
    <w:rsid w:val="00197EE4"/>
    <w:rsid w:val="001B31FB"/>
    <w:rsid w:val="001B5068"/>
    <w:rsid w:val="001C122B"/>
    <w:rsid w:val="001F21B1"/>
    <w:rsid w:val="00206BC2"/>
    <w:rsid w:val="002206A7"/>
    <w:rsid w:val="002273F3"/>
    <w:rsid w:val="00230E09"/>
    <w:rsid w:val="00235EFD"/>
    <w:rsid w:val="002529F2"/>
    <w:rsid w:val="00252FA6"/>
    <w:rsid w:val="0025740E"/>
    <w:rsid w:val="00271D4B"/>
    <w:rsid w:val="00272F96"/>
    <w:rsid w:val="0029171F"/>
    <w:rsid w:val="002A4F50"/>
    <w:rsid w:val="002C11A0"/>
    <w:rsid w:val="002C1201"/>
    <w:rsid w:val="002D3238"/>
    <w:rsid w:val="002D4EB9"/>
    <w:rsid w:val="002E4651"/>
    <w:rsid w:val="002F3357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543AA"/>
    <w:rsid w:val="0035658F"/>
    <w:rsid w:val="00371357"/>
    <w:rsid w:val="00374220"/>
    <w:rsid w:val="0037600B"/>
    <w:rsid w:val="003772C4"/>
    <w:rsid w:val="00383086"/>
    <w:rsid w:val="00390B42"/>
    <w:rsid w:val="00391AA6"/>
    <w:rsid w:val="003C7EEB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208A"/>
    <w:rsid w:val="00424BA0"/>
    <w:rsid w:val="00426D11"/>
    <w:rsid w:val="00456376"/>
    <w:rsid w:val="00482219"/>
    <w:rsid w:val="00497849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71735"/>
    <w:rsid w:val="00573F2B"/>
    <w:rsid w:val="0057575C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7A9E"/>
    <w:rsid w:val="006246D3"/>
    <w:rsid w:val="00624AEC"/>
    <w:rsid w:val="00625442"/>
    <w:rsid w:val="0063312A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4F59"/>
    <w:rsid w:val="006E7790"/>
    <w:rsid w:val="006F6935"/>
    <w:rsid w:val="00704EFB"/>
    <w:rsid w:val="0071682C"/>
    <w:rsid w:val="00731340"/>
    <w:rsid w:val="007360E5"/>
    <w:rsid w:val="0074423B"/>
    <w:rsid w:val="00750BE5"/>
    <w:rsid w:val="0076220E"/>
    <w:rsid w:val="007759BF"/>
    <w:rsid w:val="00781339"/>
    <w:rsid w:val="00792720"/>
    <w:rsid w:val="007A0FA5"/>
    <w:rsid w:val="007A6EC7"/>
    <w:rsid w:val="007B4815"/>
    <w:rsid w:val="007B538A"/>
    <w:rsid w:val="007E2315"/>
    <w:rsid w:val="007E673E"/>
    <w:rsid w:val="007E67B8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66FF"/>
    <w:rsid w:val="00897595"/>
    <w:rsid w:val="008B2095"/>
    <w:rsid w:val="008E5E99"/>
    <w:rsid w:val="008F1EB5"/>
    <w:rsid w:val="008F5089"/>
    <w:rsid w:val="008F73C6"/>
    <w:rsid w:val="00902A0D"/>
    <w:rsid w:val="00906361"/>
    <w:rsid w:val="00911702"/>
    <w:rsid w:val="0091379F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46"/>
    <w:rsid w:val="009A702B"/>
    <w:rsid w:val="009B0889"/>
    <w:rsid w:val="009B09E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5BE4"/>
    <w:rsid w:val="00B54E3D"/>
    <w:rsid w:val="00B55305"/>
    <w:rsid w:val="00B735EE"/>
    <w:rsid w:val="00B94249"/>
    <w:rsid w:val="00BC1CD2"/>
    <w:rsid w:val="00BC73F3"/>
    <w:rsid w:val="00BE4AA6"/>
    <w:rsid w:val="00BE4D1D"/>
    <w:rsid w:val="00BE558C"/>
    <w:rsid w:val="00BF2E6E"/>
    <w:rsid w:val="00C01175"/>
    <w:rsid w:val="00C31D32"/>
    <w:rsid w:val="00C36722"/>
    <w:rsid w:val="00C370C7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26E7"/>
    <w:rsid w:val="00CE0767"/>
    <w:rsid w:val="00CE3824"/>
    <w:rsid w:val="00CE3D01"/>
    <w:rsid w:val="00D14734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759BF"/>
    <w:rsid w:val="00D91B48"/>
    <w:rsid w:val="00D93CA5"/>
    <w:rsid w:val="00DA301F"/>
    <w:rsid w:val="00DA3F0F"/>
    <w:rsid w:val="00DA416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1C33"/>
    <w:rsid w:val="00E4085F"/>
    <w:rsid w:val="00E47C5C"/>
    <w:rsid w:val="00E504B1"/>
    <w:rsid w:val="00E5479C"/>
    <w:rsid w:val="00E74C15"/>
    <w:rsid w:val="00E74FCC"/>
    <w:rsid w:val="00E75D9A"/>
    <w:rsid w:val="00E823D8"/>
    <w:rsid w:val="00EA250A"/>
    <w:rsid w:val="00EB2896"/>
    <w:rsid w:val="00EB5F0D"/>
    <w:rsid w:val="00EC7B54"/>
    <w:rsid w:val="00EF0A96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B735EE"/>
    <w:pPr>
      <w:keepNext/>
      <w:keepLines/>
      <w:spacing w:after="340" w:line="56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B735EE"/>
    <w:pPr>
      <w:spacing w:after="1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5EE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B735EE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C439AF"/>
    <w:pPr>
      <w:framePr w:wrap="around" w:vAnchor="text" w:hAnchor="text" w:y="15"/>
      <w:jc w:val="right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DA301F"/>
    <w:pPr>
      <w:contextualSpacing/>
      <w:jc w:val="right"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8866FF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table" w:styleId="PlainTable4">
    <w:name w:val="Plain Table 4"/>
    <w:basedOn w:val="TableNormal"/>
    <w:uiPriority w:val="44"/>
    <w:rsid w:val="00B735E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8B014-1DDE-4F44-96B5-D195E4CD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2604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Banner Title</dc:title>
  <dc:subject/>
  <dc:creator>Independent Electricity System Operator</dc:creator>
  <cp:keywords/>
  <dc:description/>
  <cp:lastModifiedBy>Katelyn Margerm</cp:lastModifiedBy>
  <cp:revision>2</cp:revision>
  <cp:lastPrinted>2020-04-17T18:00:00Z</cp:lastPrinted>
  <dcterms:created xsi:type="dcterms:W3CDTF">2021-02-03T21:06:00Z</dcterms:created>
  <dcterms:modified xsi:type="dcterms:W3CDTF">2021-02-03T21:06:00Z</dcterms:modified>
  <cp:category/>
</cp:coreProperties>
</file>