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3ED9292F" w14:textId="3F1A38C3" w:rsidR="00C37D7A" w:rsidRDefault="00C37D7A" w:rsidP="006F582B">
      <w:pPr>
        <w:pStyle w:val="Heading2"/>
      </w:pPr>
      <w:r>
        <w:t>E</w:t>
      </w:r>
      <w:r w:rsidR="703D23F8">
        <w:t xml:space="preserve">nabling Resources Program (ERP) - </w:t>
      </w:r>
      <w:r>
        <w:t xml:space="preserve">Storage and </w:t>
      </w:r>
      <w:r w:rsidR="3A797BFB">
        <w:t xml:space="preserve">Co-located </w:t>
      </w:r>
      <w:r>
        <w:t>Hybrid Integration Project</w:t>
      </w:r>
    </w:p>
    <w:p w14:paraId="5DCE5DD0" w14:textId="27CD3992" w:rsidR="006F582B" w:rsidRDefault="00C37D7A" w:rsidP="006F582B">
      <w:pPr>
        <w:pStyle w:val="Heading2"/>
      </w:pPr>
      <w:r>
        <w:t xml:space="preserve">Meeting Date: </w:t>
      </w:r>
      <w:r w:rsidR="457FDA12">
        <w:t>July 24</w:t>
      </w:r>
      <w:r w:rsidR="00F01D60">
        <w:t xml:space="preserve">, </w:t>
      </w:r>
      <w:r w:rsidR="00D7138A">
        <w:t>202</w:t>
      </w:r>
      <w:r w:rsidR="00753DDD">
        <w:t>5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6AB425BF" w:rsidR="00555588" w:rsidRPr="00555588" w:rsidRDefault="00555588" w:rsidP="558E6500">
      <w:pPr>
        <w:pStyle w:val="BodyText"/>
        <w:rPr>
          <w:rFonts w:eastAsiaTheme="minorEastAsia" w:cs="Tahoma"/>
          <w:lang w:val="en-US"/>
        </w:rPr>
      </w:pPr>
      <w:r w:rsidRPr="558E6500">
        <w:rPr>
          <w:rFonts w:eastAsiaTheme="minorEastAsia" w:cs="Tahoma"/>
          <w:lang w:val="en-US"/>
        </w:rPr>
        <w:t xml:space="preserve">Following the </w:t>
      </w:r>
      <w:r w:rsidR="411CDC85" w:rsidRPr="558E6500">
        <w:rPr>
          <w:rFonts w:eastAsiaTheme="minorEastAsia" w:cs="Tahoma"/>
          <w:b/>
          <w:bCs/>
          <w:lang w:val="en-US"/>
        </w:rPr>
        <w:t>July 24</w:t>
      </w:r>
      <w:r w:rsidR="00D7138A" w:rsidRPr="558E6500">
        <w:rPr>
          <w:rFonts w:eastAsiaTheme="minorEastAsia" w:cs="Tahoma"/>
          <w:b/>
          <w:bCs/>
          <w:lang w:val="en-US"/>
        </w:rPr>
        <w:t xml:space="preserve">, </w:t>
      </w:r>
      <w:r w:rsidR="453AAE83" w:rsidRPr="558E6500">
        <w:rPr>
          <w:rFonts w:eastAsiaTheme="minorEastAsia" w:cs="Tahoma"/>
          <w:b/>
          <w:bCs/>
          <w:lang w:val="en-US"/>
        </w:rPr>
        <w:t>202</w:t>
      </w:r>
      <w:r w:rsidR="00753DDD" w:rsidRPr="558E6500">
        <w:rPr>
          <w:rFonts w:eastAsiaTheme="minorEastAsia" w:cs="Tahoma"/>
          <w:b/>
          <w:bCs/>
          <w:lang w:val="en-US"/>
        </w:rPr>
        <w:t>5</w:t>
      </w:r>
      <w:r w:rsidR="453AAE83" w:rsidRPr="558E6500">
        <w:rPr>
          <w:rFonts w:eastAsiaTheme="minorEastAsia" w:cs="Tahoma"/>
          <w:lang w:val="en-US"/>
        </w:rPr>
        <w:t>,</w:t>
      </w:r>
      <w:r w:rsidRPr="558E6500">
        <w:rPr>
          <w:rFonts w:eastAsiaTheme="minorEastAsia" w:cs="Tahoma"/>
          <w:lang w:val="en-US"/>
        </w:rPr>
        <w:t xml:space="preserve"> engagement webinar, the Independent Electricity System Operator (IESO) is seeking feedback on the items discussed during the </w:t>
      </w:r>
      <w:bookmarkStart w:id="0" w:name="_Int_XXrVAwus"/>
      <w:r w:rsidRPr="558E6500">
        <w:rPr>
          <w:rFonts w:eastAsiaTheme="minorEastAsia" w:cs="Tahoma"/>
          <w:lang w:val="en-US"/>
        </w:rPr>
        <w:t>webinar</w:t>
      </w:r>
      <w:bookmarkEnd w:id="0"/>
      <w:r w:rsidRPr="558E6500">
        <w:rPr>
          <w:rFonts w:eastAsiaTheme="minorEastAsia" w:cs="Tahoma"/>
          <w:lang w:val="en-US"/>
        </w:rPr>
        <w:t xml:space="preserve">. The presentation and recording can be accessed from the </w:t>
      </w:r>
      <w:r w:rsidRPr="558E6500">
        <w:rPr>
          <w:noProof/>
          <w:lang w:val="en-US"/>
        </w:rPr>
        <w:t>engagement web page</w:t>
      </w:r>
      <w:r w:rsidRPr="558E6500">
        <w:rPr>
          <w:rFonts w:eastAsiaTheme="minorEastAsia" w:cs="Tahoma"/>
          <w:lang w:val="en-US"/>
        </w:rPr>
        <w:t>.</w:t>
      </w:r>
    </w:p>
    <w:p w14:paraId="280CE50C" w14:textId="29FBA88D" w:rsidR="009B6BAE" w:rsidRPr="00C37D7A" w:rsidRDefault="00555588" w:rsidP="558E6500">
      <w:pPr>
        <w:pStyle w:val="BodyText"/>
        <w:rPr>
          <w:rFonts w:eastAsiaTheme="minorEastAsia" w:cs="Tahoma"/>
          <w:lang w:val="en-US"/>
        </w:rPr>
      </w:pPr>
      <w:r w:rsidRPr="2EDB5B3B">
        <w:rPr>
          <w:rFonts w:eastAsiaTheme="minorEastAsia" w:cs="Tahoma"/>
          <w:b/>
          <w:bCs/>
          <w:lang w:val="en-US"/>
        </w:rPr>
        <w:t>Please submit feedback to</w:t>
      </w:r>
      <w:r w:rsidRPr="2EDB5B3B">
        <w:rPr>
          <w:rFonts w:eastAsiaTheme="minorEastAsia" w:cs="Tahoma"/>
          <w:lang w:val="en-US"/>
        </w:rPr>
        <w:t xml:space="preserve"> </w:t>
      </w:r>
      <w:r w:rsidRPr="2EDB5B3B">
        <w:rPr>
          <w:rStyle w:val="Hyperlink"/>
          <w:lang w:val="en-US"/>
        </w:rPr>
        <w:t>engagement@ieso.ca</w:t>
      </w:r>
      <w:r w:rsidRPr="2EDB5B3B">
        <w:rPr>
          <w:rFonts w:eastAsiaTheme="minorEastAsia" w:cs="Tahoma"/>
          <w:lang w:val="en-US"/>
        </w:rPr>
        <w:t xml:space="preserve"> by </w:t>
      </w:r>
      <w:r w:rsidR="5C9224B6" w:rsidRPr="2EDB5B3B">
        <w:rPr>
          <w:rFonts w:eastAsiaTheme="minorEastAsia" w:cs="Tahoma"/>
          <w:b/>
          <w:bCs/>
          <w:lang w:val="en-US"/>
        </w:rPr>
        <w:t xml:space="preserve">August </w:t>
      </w:r>
      <w:r w:rsidR="6435DC87" w:rsidRPr="2EDB5B3B">
        <w:rPr>
          <w:rFonts w:eastAsiaTheme="minorEastAsia" w:cs="Tahoma"/>
          <w:b/>
          <w:bCs/>
          <w:lang w:val="en-US"/>
        </w:rPr>
        <w:t>21</w:t>
      </w:r>
      <w:r w:rsidR="5C9224B6" w:rsidRPr="2EDB5B3B">
        <w:rPr>
          <w:rFonts w:eastAsiaTheme="minorEastAsia" w:cs="Tahoma"/>
          <w:b/>
          <w:bCs/>
          <w:lang w:val="en-US"/>
        </w:rPr>
        <w:t>,</w:t>
      </w:r>
      <w:r w:rsidR="00753DDD" w:rsidRPr="2EDB5B3B">
        <w:rPr>
          <w:rFonts w:eastAsiaTheme="minorEastAsia" w:cs="Tahoma"/>
          <w:b/>
          <w:bCs/>
          <w:lang w:val="en-US"/>
        </w:rPr>
        <w:t xml:space="preserve"> </w:t>
      </w:r>
      <w:r w:rsidR="005C12F5" w:rsidRPr="2EDB5B3B">
        <w:rPr>
          <w:rFonts w:eastAsiaTheme="minorEastAsia" w:cs="Tahoma"/>
          <w:b/>
          <w:bCs/>
          <w:lang w:val="en-US"/>
        </w:rPr>
        <w:t>202</w:t>
      </w:r>
      <w:r w:rsidR="00753DDD" w:rsidRPr="2EDB5B3B">
        <w:rPr>
          <w:rFonts w:eastAsiaTheme="minorEastAsia" w:cs="Tahoma"/>
          <w:b/>
          <w:bCs/>
          <w:lang w:val="en-US"/>
        </w:rPr>
        <w:t>5</w:t>
      </w:r>
      <w:r w:rsidRPr="2EDB5B3B">
        <w:rPr>
          <w:rFonts w:eastAsiaTheme="minorEastAsia" w:cs="Tahoma"/>
          <w:lang w:val="en-US"/>
        </w:rPr>
        <w:t xml:space="preserve">. If you wish to provide confidential feedback, please </w:t>
      </w:r>
      <w:r w:rsidR="479327F8" w:rsidRPr="2EDB5B3B">
        <w:rPr>
          <w:rFonts w:eastAsiaTheme="minorEastAsia" w:cs="Tahoma"/>
          <w:lang w:val="en-US"/>
        </w:rPr>
        <w:t>submit it</w:t>
      </w:r>
      <w:r w:rsidRPr="2EDB5B3B">
        <w:rPr>
          <w:rFonts w:eastAsiaTheme="minorEastAsia" w:cs="Tahoma"/>
          <w:lang w:val="en-US"/>
        </w:rPr>
        <w:t xml:space="preserve"> as a separate document, marked “</w:t>
      </w:r>
      <w:r w:rsidRPr="2EDB5B3B">
        <w:rPr>
          <w:rFonts w:eastAsiaTheme="minorEastAsia" w:cs="Tahoma"/>
          <w:b/>
          <w:bCs/>
          <w:lang w:val="en-US"/>
        </w:rPr>
        <w:t>Confidential</w:t>
      </w:r>
      <w:r w:rsidR="5E5D0A1C" w:rsidRPr="2EDB5B3B">
        <w:rPr>
          <w:rFonts w:eastAsiaTheme="minorEastAsia" w:cs="Tahoma"/>
          <w:lang w:val="en-US"/>
        </w:rPr>
        <w:t>.”</w:t>
      </w:r>
      <w:r w:rsidRPr="2EDB5B3B">
        <w:rPr>
          <w:rFonts w:eastAsiaTheme="minorEastAsia" w:cs="Tahoma"/>
          <w:lang w:val="en-US"/>
        </w:rPr>
        <w:t xml:space="preserve"> Otherwise, to promote transparency, feedback that is not marked “Confidential” will be posted on the engagement webpage.</w:t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7A7FCB9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1AE55B2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32C33A11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8186ED6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6CDC718F" w14:textId="77777777" w:rsidR="00FF3A94" w:rsidRDefault="00FF3A94" w:rsidP="00C37D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14:paraId="71A64055" w14:textId="21199100" w:rsidR="00C37D7A" w:rsidRDefault="00C37D7A" w:rsidP="558E650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="Tahoma" w:hAnsi="Tahoma" w:cs="Tahoma"/>
          <w:color w:val="002060"/>
          <w:sz w:val="28"/>
          <w:szCs w:val="28"/>
          <w:lang w:val="en-US"/>
        </w:rPr>
      </w:pPr>
      <w:r w:rsidRPr="558E6500">
        <w:rPr>
          <w:rStyle w:val="normaltextrun"/>
          <w:rFonts w:ascii="Tahoma" w:eastAsia="Tahoma" w:hAnsi="Tahoma" w:cs="Tahoma"/>
          <w:color w:val="002060"/>
          <w:sz w:val="28"/>
          <w:szCs w:val="28"/>
          <w:lang w:val="en-US"/>
        </w:rPr>
        <w:lastRenderedPageBreak/>
        <w:t>General ERP Feedback:</w:t>
      </w:r>
      <w:r w:rsidRPr="558E6500">
        <w:rPr>
          <w:rStyle w:val="eop"/>
          <w:rFonts w:ascii="Tahoma" w:eastAsia="Tahoma" w:hAnsi="Tahoma" w:cs="Tahoma"/>
          <w:color w:val="002060"/>
          <w:sz w:val="28"/>
          <w:szCs w:val="28"/>
          <w:lang w:val="en-US"/>
        </w:rPr>
        <w:t>​</w:t>
      </w:r>
    </w:p>
    <w:p w14:paraId="0D4C241E" w14:textId="77777777" w:rsidR="00C37D7A" w:rsidRDefault="00C37D7A" w:rsidP="00C37D7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Tahoma"/>
          <w:sz w:val="32"/>
          <w:szCs w:val="32"/>
          <w:lang w:val="en-US"/>
        </w:rPr>
      </w:pPr>
    </w:p>
    <w:p w14:paraId="38C7F76A" w14:textId="77777777" w:rsidR="00C37D7A" w:rsidRPr="00C37D7A" w:rsidRDefault="00C37D7A" w:rsidP="00C37D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310"/>
        <w:gridCol w:w="4680"/>
      </w:tblGrid>
      <w:tr w:rsidR="004200EA" w:rsidRPr="006B7128" w14:paraId="1F6F248C" w14:textId="77777777" w:rsidTr="00205EF6">
        <w:trPr>
          <w:cantSplit/>
          <w:trHeight w:val="144"/>
          <w:tblHeader/>
        </w:trPr>
        <w:tc>
          <w:tcPr>
            <w:tcW w:w="5310" w:type="dxa"/>
            <w:tcMar>
              <w:top w:w="0" w:type="dxa"/>
              <w:bottom w:w="130" w:type="dxa"/>
            </w:tcMar>
            <w:vAlign w:val="bottom"/>
          </w:tcPr>
          <w:p w14:paraId="5E43125D" w14:textId="402EB9BD" w:rsidR="004200EA" w:rsidRPr="00892172" w:rsidRDefault="00D56CDF" w:rsidP="00203015">
            <w:pPr>
              <w:pStyle w:val="TableHeaderLeftAlignment"/>
              <w:rPr>
                <w:sz w:val="20"/>
                <w:szCs w:val="28"/>
              </w:rPr>
            </w:pPr>
            <w:bookmarkStart w:id="1" w:name="_Toc35868671"/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468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892172" w:rsidRDefault="00D56CDF" w:rsidP="004200EA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4200EA" w:rsidRPr="006B7128" w14:paraId="44D6E714" w14:textId="77777777" w:rsidTr="00205EF6">
        <w:trPr>
          <w:cantSplit/>
          <w:trHeight w:val="1777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05D9C244" w14:textId="2B82EE31" w:rsidR="00C37D7A" w:rsidRPr="006B7128" w:rsidRDefault="1F0A71FB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Feedback on the engagement approach, meetings, or the S/H Project in general?</w:t>
            </w:r>
          </w:p>
        </w:tc>
        <w:sdt>
          <w:sdtPr>
            <w:rPr>
              <w:rStyle w:val="PlaceholderText"/>
              <w:rFonts w:eastAsia="Tahoma"/>
              <w:sz w:val="28"/>
              <w:szCs w:val="28"/>
            </w:r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2EDB5B3B">
                <w:pPr>
                  <w:pStyle w:val="TableNumeralsLeftAlignment"/>
                  <w:spacing w:line="240" w:lineRule="auto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0CB4D756" w14:textId="2D8EF5C3" w:rsidR="00197EE4" w:rsidRDefault="00197EE4" w:rsidP="2EDB5B3B">
      <w:pPr>
        <w:pStyle w:val="BodyText"/>
        <w:spacing w:line="240" w:lineRule="auto"/>
        <w:rPr>
          <w:rFonts w:eastAsia="Tahoma" w:cs="Tahoma"/>
          <w:sz w:val="28"/>
          <w:szCs w:val="28"/>
        </w:rPr>
      </w:pPr>
    </w:p>
    <w:p w14:paraId="18811278" w14:textId="6796EEF3" w:rsidR="558E6500" w:rsidRDefault="558E6500" w:rsidP="558E6500">
      <w:pPr>
        <w:pStyle w:val="paragraph"/>
        <w:rPr>
          <w:rStyle w:val="normaltextrun"/>
          <w:rFonts w:ascii="Tahoma" w:hAnsi="Tahoma" w:cs="Tahoma"/>
          <w:b/>
          <w:bCs/>
          <w:color w:val="000000" w:themeColor="text1"/>
          <w:sz w:val="32"/>
          <w:szCs w:val="32"/>
          <w:lang w:val="en-US"/>
        </w:rPr>
      </w:pPr>
    </w:p>
    <w:p w14:paraId="7B15ADCE" w14:textId="52C65D20" w:rsidR="00C37D7A" w:rsidRDefault="125C0E21" w:rsidP="2EDB5B3B">
      <w:pPr>
        <w:pStyle w:val="paragraph"/>
        <w:spacing w:before="0" w:beforeAutospacing="0" w:after="0" w:afterAutospacing="0"/>
        <w:textAlignment w:val="baseline"/>
        <w:rPr>
          <w:rFonts w:ascii="Tahoma" w:eastAsia="Tahoma" w:hAnsi="Tahoma" w:cs="Tahoma"/>
          <w:color w:val="002060"/>
          <w:sz w:val="28"/>
          <w:szCs w:val="28"/>
          <w:lang w:val="en-US"/>
        </w:rPr>
      </w:pPr>
      <w:r w:rsidRPr="2EDB5B3B">
        <w:rPr>
          <w:rStyle w:val="normaltextrun"/>
          <w:rFonts w:ascii="Tahoma" w:eastAsia="Tahoma" w:hAnsi="Tahoma" w:cs="Tahoma"/>
          <w:color w:val="002060"/>
          <w:sz w:val="28"/>
          <w:szCs w:val="28"/>
          <w:lang w:val="en-US"/>
        </w:rPr>
        <w:t xml:space="preserve">Storage/Hybrid Project </w:t>
      </w:r>
      <w:r w:rsidR="00C37D7A" w:rsidRPr="2EDB5B3B">
        <w:rPr>
          <w:rStyle w:val="normaltextrun"/>
          <w:rFonts w:ascii="Tahoma" w:eastAsia="Tahoma" w:hAnsi="Tahoma" w:cs="Tahoma"/>
          <w:color w:val="002060"/>
          <w:sz w:val="28"/>
          <w:szCs w:val="28"/>
          <w:lang w:val="en-US"/>
        </w:rPr>
        <w:t>Feedback:</w:t>
      </w:r>
      <w:r w:rsidR="00C37D7A" w:rsidRPr="2EDB5B3B">
        <w:rPr>
          <w:rStyle w:val="eop"/>
          <w:rFonts w:ascii="Tahoma" w:eastAsia="Tahoma" w:hAnsi="Tahoma" w:cs="Tahoma"/>
          <w:color w:val="002060"/>
          <w:sz w:val="28"/>
          <w:szCs w:val="28"/>
          <w:lang w:val="en-US"/>
        </w:rPr>
        <w:t>​</w:t>
      </w:r>
    </w:p>
    <w:p w14:paraId="17A36A3D" w14:textId="77777777" w:rsidR="00C37D7A" w:rsidRDefault="00C37D7A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310"/>
        <w:gridCol w:w="4680"/>
      </w:tblGrid>
      <w:tr w:rsidR="00C37D7A" w:rsidRPr="006B7128" w14:paraId="65631880" w14:textId="77777777" w:rsidTr="00205EF6">
        <w:trPr>
          <w:cantSplit/>
          <w:trHeight w:val="144"/>
          <w:tblHeader/>
        </w:trPr>
        <w:tc>
          <w:tcPr>
            <w:tcW w:w="5310" w:type="dxa"/>
            <w:tcMar>
              <w:top w:w="0" w:type="dxa"/>
              <w:bottom w:w="130" w:type="dxa"/>
            </w:tcMar>
            <w:vAlign w:val="bottom"/>
          </w:tcPr>
          <w:p w14:paraId="5356BF03" w14:textId="77777777" w:rsidR="00C37D7A" w:rsidRPr="00892172" w:rsidRDefault="00C37D7A" w:rsidP="00203015">
            <w:pPr>
              <w:pStyle w:val="TableHeaderLeftAlignment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Topic</w:t>
            </w:r>
          </w:p>
        </w:tc>
        <w:tc>
          <w:tcPr>
            <w:tcW w:w="468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1EABD0B" w14:textId="77777777" w:rsidR="00C37D7A" w:rsidRPr="00892172" w:rsidRDefault="00C37D7A" w:rsidP="00203015">
            <w:pPr>
              <w:pStyle w:val="TableHeaderRightAlignment"/>
              <w:framePr w:wrap="around"/>
              <w:rPr>
                <w:sz w:val="20"/>
                <w:szCs w:val="28"/>
              </w:rPr>
            </w:pPr>
            <w:r w:rsidRPr="00892172">
              <w:rPr>
                <w:sz w:val="20"/>
                <w:szCs w:val="28"/>
              </w:rPr>
              <w:t>Feedback</w:t>
            </w:r>
          </w:p>
        </w:tc>
      </w:tr>
      <w:tr w:rsidR="00C37D7A" w:rsidRPr="006B7128" w14:paraId="3C7F58F8" w14:textId="77777777" w:rsidTr="00205EF6">
        <w:trPr>
          <w:cantSplit/>
          <w:trHeight w:val="949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51EBC098" w14:textId="7807F13D" w:rsidR="00C37D7A" w:rsidRPr="006B7128" w:rsidRDefault="23AF537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Telemetered SoC:</w:t>
            </w:r>
          </w:p>
          <w:p w14:paraId="356C0062" w14:textId="3F243FE9" w:rsidR="00C37D7A" w:rsidRPr="006B7128" w:rsidRDefault="23AF537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Required for calculations in PD and RT timeframes. This value is expected to</w:t>
            </w:r>
            <w:r w:rsidR="37DAB925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inform the IESO of the injection capability of the resource in MWh and therefore should account for</w:t>
            </w:r>
            <w:r w:rsidR="510DD831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any losses. Current performance requirements will continue, with data sent every 4 seconds to the</w:t>
            </w:r>
            <w:r w:rsidR="43313F77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IESO.</w:t>
            </w:r>
          </w:p>
          <w:p w14:paraId="63896EBB" w14:textId="19AE5C5B" w:rsidR="00C37D7A" w:rsidRPr="006B7128" w:rsidRDefault="23AF537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Do MP’s have concerns or foresee challenges with this requirement?   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799086703"/>
              <w:placeholder>
                <w:docPart w:val="DefaultPlaceholder_-1854013440"/>
              </w:placeholder>
              <w:showingPlcHdr/>
              <w:text/>
            </w:sdtPr>
            <w:sdtContent>
              <w:p w14:paraId="2A69EB94" w14:textId="50914A97" w:rsidR="00C37D7A" w:rsidRPr="006D7540" w:rsidRDefault="5C1206C3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C37D7A" w:rsidRPr="006B7128" w14:paraId="392932F4" w14:textId="77777777" w:rsidTr="00205EF6">
        <w:trPr>
          <w:cantSplit/>
          <w:trHeight w:val="949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48BD0CA3" w14:textId="126AB205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OR Offers:</w:t>
            </w:r>
          </w:p>
          <w:p w14:paraId="1332437A" w14:textId="01F175DE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Are there concerns about OR provided by storage being branched from withdrawal</w:t>
            </w:r>
            <w:r w:rsidR="0F44328A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to injection?      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1277761415"/>
              <w:placeholder>
                <w:docPart w:val="DefaultPlaceholder_-1854013440"/>
              </w:placeholder>
              <w:showingPlcHdr/>
              <w:text/>
            </w:sdtPr>
            <w:sdtContent>
              <w:p w14:paraId="0A534FCD" w14:textId="7F05A391" w:rsidR="00C37D7A" w:rsidRDefault="2C316B8D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C37D7A" w:rsidRPr="006B7128" w14:paraId="5FFAF7AE" w14:textId="77777777" w:rsidTr="00205EF6">
        <w:trPr>
          <w:cantSplit/>
          <w:trHeight w:val="949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75B4BDAE" w14:textId="77777777" w:rsidR="00A91207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Ramp Rates: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</w:p>
          <w:p w14:paraId="6CB4B179" w14:textId="56C8F03A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Do you have feedback on the 100 MW/min static ramp rate and utilizing a</w:t>
            </w:r>
            <w:r w:rsidR="2F4F0547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standardized approach to dispatch?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1740172802"/>
              <w:placeholder>
                <w:docPart w:val="DefaultPlaceholder_-1854013440"/>
              </w:placeholder>
              <w:showingPlcHdr/>
              <w:text/>
            </w:sdtPr>
            <w:sdtContent>
              <w:p w14:paraId="6B09547C" w14:textId="021B63D0" w:rsidR="00C37D7A" w:rsidRDefault="3F557F8C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C37D7A" w:rsidRPr="006B7128" w14:paraId="13C259CD" w14:textId="77777777" w:rsidTr="00205EF6">
        <w:trPr>
          <w:cantSplit/>
          <w:trHeight w:val="949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37F5FCA5" w14:textId="2F8722DB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proofErr w:type="spellStart"/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CycleDEL</w:t>
            </w:r>
            <w:proofErr w:type="spellEnd"/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:</w:t>
            </w:r>
          </w:p>
          <w:p w14:paraId="505F0240" w14:textId="0BCBFC92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Is </w:t>
            </w:r>
            <w:proofErr w:type="spellStart"/>
            <w:r w:rsidRPr="2EDB5B3B">
              <w:rPr>
                <w:rFonts w:eastAsia="Tahoma" w:cs="Tahoma"/>
                <w:sz w:val="28"/>
                <w:szCs w:val="28"/>
                <w:lang w:val="en-US"/>
              </w:rPr>
              <w:t>CycleDEL</w:t>
            </w:r>
            <w:proofErr w:type="spellEnd"/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sufficient to limit the cycling for storage </w:t>
            </w:r>
            <w:r w:rsidR="63426B34" w:rsidRPr="2EDB5B3B">
              <w:rPr>
                <w:rFonts w:eastAsia="Tahoma" w:cs="Tahoma"/>
                <w:sz w:val="28"/>
                <w:szCs w:val="28"/>
                <w:lang w:val="en-US"/>
              </w:rPr>
              <w:t>in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Phase 1?</w:t>
            </w:r>
          </w:p>
          <w:p w14:paraId="758ED745" w14:textId="7245B84F" w:rsidR="00C37D7A" w:rsidRDefault="33F8F04F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What is the</w:t>
            </w:r>
            <w:r w:rsidR="16B29EBF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expected default setting?  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167908047"/>
              <w:placeholder>
                <w:docPart w:val="DefaultPlaceholder_-1854013440"/>
              </w:placeholder>
              <w:showingPlcHdr/>
              <w:text/>
            </w:sdtPr>
            <w:sdtContent>
              <w:p w14:paraId="03E56E3A" w14:textId="3DA91722" w:rsidR="00C37D7A" w:rsidRDefault="498DE15E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C37D7A" w:rsidRPr="006B7128" w14:paraId="201F3E4F" w14:textId="77777777" w:rsidTr="00205EF6">
        <w:trPr>
          <w:cantSplit/>
          <w:trHeight w:val="949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7A7674AD" w14:textId="39FDCEFD" w:rsidR="00C37D7A" w:rsidRDefault="23BD616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b/>
                <w:bCs/>
                <w:i/>
                <w:iCs/>
                <w:sz w:val="28"/>
                <w:szCs w:val="28"/>
                <w:lang w:val="en-US"/>
              </w:rPr>
              <w:t>Exceeding Min/Max SoC limits:</w:t>
            </w:r>
          </w:p>
          <w:p w14:paraId="109F1046" w14:textId="363F4261" w:rsidR="00C37D7A" w:rsidRDefault="23BD616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Do you anticipate needing to exceed min/max SoC limits for</w:t>
            </w:r>
            <w:r w:rsidR="6A136804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specific market opportunities</w:t>
            </w:r>
            <w:r w:rsidR="00A91207">
              <w:rPr>
                <w:rFonts w:eastAsia="Tahoma" w:cs="Tahoma"/>
                <w:sz w:val="28"/>
                <w:szCs w:val="28"/>
                <w:lang w:val="en-US"/>
              </w:rPr>
              <w:t>, or just maintenance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and what are the typical min/max limits – is this a fixed/static value</w:t>
            </w:r>
            <w:r w:rsidR="00A91207">
              <w:rPr>
                <w:rFonts w:eastAsia="Tahoma" w:cs="Tahoma"/>
                <w:sz w:val="28"/>
                <w:szCs w:val="28"/>
                <w:lang w:val="en-US"/>
              </w:rPr>
              <w:t xml:space="preserve"> that can be derived for registration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?</w:t>
            </w:r>
            <w:r w:rsidR="76E31327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</w:p>
          <w:p w14:paraId="6F776D12" w14:textId="2A0BFDB4" w:rsidR="00C37D7A" w:rsidRDefault="23BD616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Frequency and magnitude of exceeding these limits?</w:t>
            </w:r>
          </w:p>
          <w:p w14:paraId="21FBBFD4" w14:textId="59B17E59" w:rsidR="00C37D7A" w:rsidRDefault="23BD6160" w:rsidP="2EDB5B3B">
            <w:pPr>
              <w:spacing w:line="240" w:lineRule="auto"/>
              <w:rPr>
                <w:rFonts w:eastAsia="Tahoma" w:cs="Tahoma"/>
                <w:sz w:val="28"/>
                <w:szCs w:val="28"/>
                <w:lang w:val="en-US"/>
              </w:rPr>
            </w:pP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Are there equipment concerns from this, what</w:t>
            </w:r>
            <w:r w:rsidR="74C01396" w:rsidRPr="2EDB5B3B">
              <w:rPr>
                <w:rFonts w:eastAsia="Tahoma" w:cs="Tahoma"/>
                <w:sz w:val="28"/>
                <w:szCs w:val="28"/>
                <w:lang w:val="en-US"/>
              </w:rPr>
              <w:t xml:space="preserve"> </w:t>
            </w:r>
            <w:r w:rsidRPr="2EDB5B3B">
              <w:rPr>
                <w:rFonts w:eastAsia="Tahoma" w:cs="Tahoma"/>
                <w:sz w:val="28"/>
                <w:szCs w:val="28"/>
                <w:lang w:val="en-US"/>
              </w:rPr>
              <w:t>are the specific concerns (faster equipment aging/degradation, other)?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283247078"/>
              <w:placeholder>
                <w:docPart w:val="DefaultPlaceholder_-1854013440"/>
              </w:placeholder>
              <w:showingPlcHdr/>
              <w:text/>
            </w:sdtPr>
            <w:sdtContent>
              <w:p w14:paraId="51FADDE3" w14:textId="17315F83" w:rsidR="00C37D7A" w:rsidRDefault="7C1EE45C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  <w:rFonts w:eastAsia="Tahoma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2EDB5B3B" w14:paraId="5CA5A10F" w14:textId="77777777" w:rsidTr="00205EF6">
        <w:trPr>
          <w:cantSplit/>
          <w:trHeight w:val="300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7D0C6497" w14:textId="77777777" w:rsidR="00A91207" w:rsidRDefault="23BD6160" w:rsidP="2EDB5B3B">
            <w:pPr>
              <w:pStyle w:val="TableNumeralsLeftAlignment"/>
              <w:spacing w:line="240" w:lineRule="auto"/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</w:pPr>
            <w:r w:rsidRPr="00A91207"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  <w:lastRenderedPageBreak/>
              <w:t xml:space="preserve">Derates: </w:t>
            </w:r>
          </w:p>
          <w:p w14:paraId="123FE76C" w14:textId="77777777" w:rsidR="00205EF6" w:rsidRPr="00A91207" w:rsidRDefault="00205EF6" w:rsidP="2EDB5B3B">
            <w:pPr>
              <w:pStyle w:val="TableNumeralsLeftAlignment"/>
              <w:spacing w:line="240" w:lineRule="auto"/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</w:pPr>
          </w:p>
          <w:p w14:paraId="4FE7EA0F" w14:textId="072DA480" w:rsidR="23BD6160" w:rsidRDefault="23BD6160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 w:rsidRPr="2EDB5B3B">
              <w:rPr>
                <w:rFonts w:eastAsia="Tahoma"/>
                <w:sz w:val="28"/>
                <w:szCs w:val="28"/>
              </w:rPr>
              <w:t xml:space="preserve">Do you have feedback on the derates that the IESO is considering; specifically, </w:t>
            </w:r>
            <w:r w:rsidR="00A91207">
              <w:rPr>
                <w:rFonts w:eastAsia="Tahoma"/>
                <w:sz w:val="28"/>
                <w:szCs w:val="28"/>
              </w:rPr>
              <w:t xml:space="preserve">what </w:t>
            </w:r>
            <w:r w:rsidRPr="2EDB5B3B">
              <w:rPr>
                <w:rFonts w:eastAsia="Tahoma"/>
                <w:sz w:val="28"/>
                <w:szCs w:val="28"/>
              </w:rPr>
              <w:t xml:space="preserve">requirements </w:t>
            </w:r>
            <w:r w:rsidR="00A91207">
              <w:rPr>
                <w:rFonts w:eastAsia="Tahoma"/>
                <w:sz w:val="28"/>
                <w:szCs w:val="28"/>
              </w:rPr>
              <w:t xml:space="preserve">need </w:t>
            </w:r>
            <w:r w:rsidRPr="2EDB5B3B">
              <w:rPr>
                <w:rFonts w:eastAsia="Tahoma"/>
                <w:sz w:val="28"/>
                <w:szCs w:val="28"/>
              </w:rPr>
              <w:t>to</w:t>
            </w:r>
            <w:r w:rsidR="00A91207">
              <w:rPr>
                <w:rFonts w:eastAsia="Tahoma"/>
                <w:sz w:val="28"/>
                <w:szCs w:val="28"/>
              </w:rPr>
              <w:t xml:space="preserve"> be set</w:t>
            </w:r>
            <w:r w:rsidRPr="2EDB5B3B">
              <w:rPr>
                <w:rFonts w:eastAsia="Tahoma"/>
                <w:sz w:val="28"/>
                <w:szCs w:val="28"/>
              </w:rPr>
              <w:t xml:space="preserve"> ensure that these are used sporadically? </w:t>
            </w:r>
          </w:p>
          <w:p w14:paraId="4CFE7A35" w14:textId="606D4722" w:rsidR="2EDB5B3B" w:rsidRDefault="2EDB5B3B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</w:p>
          <w:p w14:paraId="480749BB" w14:textId="6994F1EB" w:rsidR="23BD6160" w:rsidRDefault="23BD6160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 w:rsidRPr="2EDB5B3B">
              <w:rPr>
                <w:rFonts w:eastAsia="Tahoma"/>
                <w:sz w:val="28"/>
                <w:szCs w:val="28"/>
              </w:rPr>
              <w:t xml:space="preserve">Will there be separate derate values for injection and withdrawal? </w:t>
            </w:r>
          </w:p>
          <w:p w14:paraId="68BC468B" w14:textId="51089008" w:rsidR="2EDB5B3B" w:rsidRDefault="2EDB5B3B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</w:p>
          <w:p w14:paraId="586EC6DC" w14:textId="12F0840B" w:rsidR="23BD6160" w:rsidRDefault="23BD6160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 w:rsidRPr="2EDB5B3B">
              <w:rPr>
                <w:rFonts w:eastAsia="Tahoma"/>
                <w:sz w:val="28"/>
                <w:szCs w:val="28"/>
              </w:rPr>
              <w:t xml:space="preserve">Will MPs need to derate their SoC limits? Does this only require update to max SoC </w:t>
            </w:r>
            <w:r w:rsidR="0DCADCC0" w:rsidRPr="2EDB5B3B">
              <w:rPr>
                <w:rFonts w:eastAsia="Tahoma"/>
                <w:sz w:val="28"/>
                <w:szCs w:val="28"/>
              </w:rPr>
              <w:t>limit</w:t>
            </w:r>
            <w:r w:rsidRPr="2EDB5B3B">
              <w:rPr>
                <w:rFonts w:eastAsia="Tahoma"/>
                <w:sz w:val="28"/>
                <w:szCs w:val="28"/>
              </w:rPr>
              <w:t xml:space="preserve"> which will result in overall SoC reduction?  </w:t>
            </w:r>
          </w:p>
          <w:p w14:paraId="6724B7A6" w14:textId="7D3A90EB" w:rsidR="2EDB5B3B" w:rsidRDefault="2EDB5B3B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</w:p>
          <w:p w14:paraId="05DF64A1" w14:textId="513B4558" w:rsidR="23BD6160" w:rsidRDefault="23BD6160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 w:rsidRPr="2EDB5B3B">
              <w:rPr>
                <w:rFonts w:eastAsia="Tahoma"/>
                <w:sz w:val="28"/>
                <w:szCs w:val="28"/>
              </w:rPr>
              <w:t>How frequently does the MP need to update the round-trip efficiency?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1443569516"/>
              <w:placeholder>
                <w:docPart w:val="DefaultPlaceholder_-1854013440"/>
              </w:placeholder>
              <w:showingPlcHdr/>
              <w:text/>
            </w:sdtPr>
            <w:sdtContent>
              <w:p w14:paraId="73625FC9" w14:textId="3567D658" w:rsidR="4B6444B9" w:rsidRDefault="4B6444B9" w:rsidP="2EDB5B3B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91207" w14:paraId="3E1DDD09" w14:textId="77777777" w:rsidTr="00205EF6">
        <w:trPr>
          <w:cantSplit/>
          <w:trHeight w:val="300"/>
        </w:trPr>
        <w:tc>
          <w:tcPr>
            <w:tcW w:w="5310" w:type="dxa"/>
            <w:tcMar>
              <w:top w:w="130" w:type="dxa"/>
              <w:bottom w:w="130" w:type="dxa"/>
            </w:tcMar>
          </w:tcPr>
          <w:p w14:paraId="65F90019" w14:textId="77777777" w:rsidR="00A91207" w:rsidRDefault="00A91207" w:rsidP="2EDB5B3B">
            <w:pPr>
              <w:pStyle w:val="TableNumeralsLeftAlignment"/>
              <w:spacing w:line="240" w:lineRule="auto"/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</w:pPr>
            <w:r w:rsidRPr="00A91207"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  <w:t xml:space="preserve">Uprates: </w:t>
            </w:r>
          </w:p>
          <w:p w14:paraId="7AEFD136" w14:textId="77777777" w:rsidR="00205EF6" w:rsidRPr="00A91207" w:rsidRDefault="00205EF6" w:rsidP="2EDB5B3B">
            <w:pPr>
              <w:pStyle w:val="TableNumeralsLeftAlignment"/>
              <w:spacing w:line="240" w:lineRule="auto"/>
              <w:rPr>
                <w:rFonts w:eastAsia="Tahoma"/>
                <w:b/>
                <w:bCs w:val="0"/>
                <w:i/>
                <w:iCs/>
                <w:sz w:val="28"/>
                <w:szCs w:val="28"/>
              </w:rPr>
            </w:pPr>
          </w:p>
          <w:p w14:paraId="4475BEC3" w14:textId="453A3B12" w:rsidR="00A91207" w:rsidRDefault="00A91207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Any feedback on this concept of utilizing “uprates” to support maintenance?</w:t>
            </w:r>
          </w:p>
          <w:p w14:paraId="29E764F6" w14:textId="77777777" w:rsidR="00A91207" w:rsidRDefault="00A91207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</w:p>
          <w:p w14:paraId="778E5661" w14:textId="77777777" w:rsidR="00A91207" w:rsidRDefault="00A91207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Any conditions or requirements that the IESO may need to consider when developing its process to allow uprates?</w:t>
            </w:r>
          </w:p>
          <w:p w14:paraId="28387149" w14:textId="77777777" w:rsidR="00A91207" w:rsidRDefault="00A91207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</w:p>
          <w:p w14:paraId="0936566B" w14:textId="7AD637F5" w:rsidR="00A91207" w:rsidRPr="2EDB5B3B" w:rsidRDefault="00A91207" w:rsidP="2EDB5B3B">
            <w:pPr>
              <w:pStyle w:val="TableNumeralsLeftAlignment"/>
              <w:spacing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Are there any other operational or market participation considerations that need to be considered?</w:t>
            </w:r>
          </w:p>
        </w:tc>
        <w:tc>
          <w:tcPr>
            <w:tcW w:w="468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sdt>
            <w:sdtPr>
              <w:rPr>
                <w:rStyle w:val="PlaceholderText"/>
                <w:rFonts w:eastAsia="Tahoma"/>
                <w:sz w:val="28"/>
                <w:szCs w:val="28"/>
              </w:rPr>
              <w:id w:val="-223066697"/>
              <w:placeholder>
                <w:docPart w:val="87A234F96EC8467CAAA754C4C1821C71"/>
              </w:placeholder>
              <w:showingPlcHdr/>
              <w:text/>
            </w:sdtPr>
            <w:sdtContent>
              <w:p w14:paraId="5FE477AE" w14:textId="77777777" w:rsidR="00A91207" w:rsidRDefault="00A91207" w:rsidP="00A91207">
                <w:pPr>
                  <w:pStyle w:val="TableNumeralsLeftAlignment"/>
                  <w:rPr>
                    <w:rStyle w:val="PlaceholderText"/>
                    <w:rFonts w:eastAsia="Tahoma"/>
                    <w:sz w:val="28"/>
                    <w:szCs w:val="28"/>
                  </w:rPr>
                </w:pPr>
                <w:r w:rsidRPr="2EDB5B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9E0B22" w14:textId="77777777" w:rsidR="00A91207" w:rsidRDefault="00A91207" w:rsidP="2EDB5B3B">
            <w:pPr>
              <w:pStyle w:val="TableNumeralsLeftAlignment"/>
              <w:rPr>
                <w:rStyle w:val="PlaceholderText"/>
                <w:rFonts w:eastAsia="Tahoma"/>
                <w:sz w:val="28"/>
                <w:szCs w:val="28"/>
              </w:rPr>
            </w:pPr>
          </w:p>
        </w:tc>
      </w:tr>
      <w:bookmarkEnd w:id="1"/>
    </w:tbl>
    <w:p w14:paraId="55C838FD" w14:textId="77777777" w:rsidR="00205EF6" w:rsidRDefault="00205EF6" w:rsidP="2EDB5B3B">
      <w:pPr>
        <w:pStyle w:val="Heading3"/>
        <w:spacing w:before="0" w:after="140" w:line="300" w:lineRule="exact"/>
      </w:pPr>
    </w:p>
    <w:p w14:paraId="6DA34AB2" w14:textId="6895CC37" w:rsidR="16292722" w:rsidRDefault="00D2041D" w:rsidP="2EDB5B3B">
      <w:pPr>
        <w:pStyle w:val="Heading3"/>
        <w:spacing w:before="0" w:after="140" w:line="300" w:lineRule="exact"/>
      </w:pPr>
      <w:r>
        <w:t>General Comments/Feedback</w:t>
      </w:r>
    </w:p>
    <w:sdt>
      <w:sdtPr>
        <w:rPr>
          <w:rStyle w:val="PlaceholderText"/>
          <w:rFonts w:eastAsia="Tahoma"/>
          <w:sz w:val="28"/>
          <w:szCs w:val="28"/>
        </w:rPr>
        <w:id w:val="1084690137"/>
        <w:placeholder>
          <w:docPart w:val="DefaultPlaceholder_-1854013440"/>
        </w:placeholder>
        <w:showingPlcHdr/>
        <w:text/>
      </w:sdtPr>
      <w:sdtContent>
        <w:p w14:paraId="2AACE067" w14:textId="4031AEB6" w:rsidR="1CD20612" w:rsidRDefault="1CD20612" w:rsidP="2EDB5B3B">
          <w:pPr>
            <w:pStyle w:val="TableNumeralsLeftAlignment"/>
            <w:rPr>
              <w:rStyle w:val="PlaceholderText"/>
              <w:rFonts w:eastAsia="Tahoma"/>
              <w:sz w:val="28"/>
              <w:szCs w:val="28"/>
            </w:rPr>
          </w:pPr>
          <w:r w:rsidRPr="2EDB5B3B">
            <w:rPr>
              <w:rStyle w:val="PlaceholderText"/>
              <w:rFonts w:eastAsia="Tahoma"/>
              <w:sz w:val="28"/>
              <w:szCs w:val="28"/>
            </w:rPr>
            <w:t>Click or tap here to enter text.</w:t>
          </w:r>
        </w:p>
      </w:sdtContent>
    </w:sdt>
    <w:sectPr w:rsidR="1CD20612" w:rsidSect="003E040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2000A" w14:textId="77777777" w:rsidR="00E065DD" w:rsidRDefault="00E065DD" w:rsidP="00F83314">
      <w:r>
        <w:separator/>
      </w:r>
    </w:p>
    <w:p w14:paraId="6DE87591" w14:textId="77777777" w:rsidR="00E065DD" w:rsidRDefault="00E065DD"/>
  </w:endnote>
  <w:endnote w:type="continuationSeparator" w:id="0">
    <w:p w14:paraId="52C2FEB1" w14:textId="77777777" w:rsidR="00E065DD" w:rsidRDefault="00E065DD" w:rsidP="00F83314">
      <w:r>
        <w:continuationSeparator/>
      </w:r>
    </w:p>
    <w:p w14:paraId="1DB1B2A8" w14:textId="77777777" w:rsidR="00E065DD" w:rsidRDefault="00E065DD"/>
  </w:endnote>
  <w:endnote w:type="continuationNotice" w:id="1">
    <w:p w14:paraId="66C3A6E1" w14:textId="77777777" w:rsidR="00E065DD" w:rsidRDefault="00E06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2030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298A1C6" w:rsidR="00C6016F" w:rsidRDefault="558E6500" w:rsidP="00871E07">
    <w:pPr>
      <w:pStyle w:val="Footer"/>
      <w:ind w:right="360"/>
    </w:pPr>
    <w:r>
      <w:t>ERP – Storage Project, July 24,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1003" w14:textId="77777777" w:rsidR="00E065DD" w:rsidRDefault="00E065DD">
      <w:r>
        <w:separator/>
      </w:r>
    </w:p>
  </w:footnote>
  <w:footnote w:type="continuationSeparator" w:id="0">
    <w:p w14:paraId="5ACD0462" w14:textId="77777777" w:rsidR="00E065DD" w:rsidRDefault="00E065DD" w:rsidP="00F83314">
      <w:r>
        <w:continuationSeparator/>
      </w:r>
    </w:p>
    <w:p w14:paraId="062DF893" w14:textId="77777777" w:rsidR="00E065DD" w:rsidRDefault="00E065DD"/>
  </w:footnote>
  <w:footnote w:type="continuationNotice" w:id="1">
    <w:p w14:paraId="707B14B3" w14:textId="77777777" w:rsidR="00E065DD" w:rsidRDefault="00E06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558E6500" w14:paraId="455F5372" w14:textId="77777777" w:rsidTr="558E6500">
      <w:trPr>
        <w:trHeight w:val="300"/>
      </w:trPr>
      <w:tc>
        <w:tcPr>
          <w:tcW w:w="3295" w:type="dxa"/>
        </w:tcPr>
        <w:p w14:paraId="26E1AB77" w14:textId="712DF425" w:rsidR="558E6500" w:rsidRDefault="558E6500" w:rsidP="558E6500">
          <w:pPr>
            <w:pStyle w:val="Header"/>
            <w:ind w:left="-115"/>
          </w:pPr>
        </w:p>
      </w:tc>
      <w:tc>
        <w:tcPr>
          <w:tcW w:w="3295" w:type="dxa"/>
        </w:tcPr>
        <w:p w14:paraId="32405192" w14:textId="5B62A9C5" w:rsidR="558E6500" w:rsidRDefault="558E6500" w:rsidP="558E6500">
          <w:pPr>
            <w:pStyle w:val="Header"/>
            <w:jc w:val="center"/>
          </w:pPr>
        </w:p>
      </w:tc>
      <w:tc>
        <w:tcPr>
          <w:tcW w:w="3295" w:type="dxa"/>
        </w:tcPr>
        <w:p w14:paraId="3FD0E060" w14:textId="7CF7112F" w:rsidR="558E6500" w:rsidRDefault="558E6500" w:rsidP="558E6500">
          <w:pPr>
            <w:pStyle w:val="Header"/>
            <w:ind w:right="-115"/>
            <w:jc w:val="right"/>
          </w:pPr>
        </w:p>
      </w:tc>
    </w:tr>
  </w:tbl>
  <w:p w14:paraId="4F4E2E51" w14:textId="6ECC2075" w:rsidR="558E6500" w:rsidRDefault="558E6500" w:rsidP="558E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558E6500" w14:paraId="471062C2" w14:textId="77777777" w:rsidTr="558E6500">
      <w:trPr>
        <w:trHeight w:val="300"/>
      </w:trPr>
      <w:tc>
        <w:tcPr>
          <w:tcW w:w="3295" w:type="dxa"/>
        </w:tcPr>
        <w:p w14:paraId="082A0F0D" w14:textId="00AF84A0" w:rsidR="558E6500" w:rsidRDefault="558E6500" w:rsidP="558E6500">
          <w:pPr>
            <w:pStyle w:val="Header"/>
            <w:ind w:left="-115"/>
          </w:pPr>
        </w:p>
      </w:tc>
      <w:tc>
        <w:tcPr>
          <w:tcW w:w="3295" w:type="dxa"/>
        </w:tcPr>
        <w:p w14:paraId="0E31FBEB" w14:textId="010643EA" w:rsidR="558E6500" w:rsidRDefault="558E6500" w:rsidP="558E6500">
          <w:pPr>
            <w:pStyle w:val="Header"/>
            <w:jc w:val="center"/>
          </w:pPr>
        </w:p>
      </w:tc>
      <w:tc>
        <w:tcPr>
          <w:tcW w:w="3295" w:type="dxa"/>
        </w:tcPr>
        <w:p w14:paraId="0C379DF7" w14:textId="0483B6FE" w:rsidR="558E6500" w:rsidRDefault="558E6500" w:rsidP="558E6500">
          <w:pPr>
            <w:pStyle w:val="Header"/>
            <w:ind w:right="-115"/>
            <w:jc w:val="right"/>
          </w:pPr>
        </w:p>
      </w:tc>
    </w:tr>
  </w:tbl>
  <w:p w14:paraId="0F677515" w14:textId="7B5554EB" w:rsidR="558E6500" w:rsidRDefault="558E6500" w:rsidP="558E65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rVAwus" int2:invalidationBookmarkName="" int2:hashCode="llbS/j5qYzCVpv" int2:id="MRIUTXp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53E4E3F"/>
    <w:multiLevelType w:val="multilevel"/>
    <w:tmpl w:val="1F4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2C4371"/>
    <w:multiLevelType w:val="hybridMultilevel"/>
    <w:tmpl w:val="F48AE470"/>
    <w:lvl w:ilvl="0" w:tplc="27404652">
      <w:start w:val="1"/>
      <w:numFmt w:val="decimal"/>
      <w:lvlText w:val="%1."/>
      <w:lvlJc w:val="left"/>
      <w:pPr>
        <w:ind w:left="720" w:hanging="360"/>
      </w:pPr>
    </w:lvl>
    <w:lvl w:ilvl="1" w:tplc="441A0856">
      <w:start w:val="1"/>
      <w:numFmt w:val="lowerLetter"/>
      <w:lvlText w:val="%2."/>
      <w:lvlJc w:val="left"/>
      <w:pPr>
        <w:ind w:left="1440" w:hanging="360"/>
      </w:pPr>
    </w:lvl>
    <w:lvl w:ilvl="2" w:tplc="092C33D4">
      <w:start w:val="1"/>
      <w:numFmt w:val="lowerRoman"/>
      <w:lvlText w:val="%3."/>
      <w:lvlJc w:val="right"/>
      <w:pPr>
        <w:ind w:left="2160" w:hanging="180"/>
      </w:pPr>
    </w:lvl>
    <w:lvl w:ilvl="3" w:tplc="996EB5AE">
      <w:start w:val="1"/>
      <w:numFmt w:val="decimal"/>
      <w:lvlText w:val="%4."/>
      <w:lvlJc w:val="left"/>
      <w:pPr>
        <w:ind w:left="2880" w:hanging="360"/>
      </w:pPr>
    </w:lvl>
    <w:lvl w:ilvl="4" w:tplc="7422A19A">
      <w:start w:val="1"/>
      <w:numFmt w:val="lowerLetter"/>
      <w:lvlText w:val="%5."/>
      <w:lvlJc w:val="left"/>
      <w:pPr>
        <w:ind w:left="3600" w:hanging="360"/>
      </w:pPr>
    </w:lvl>
    <w:lvl w:ilvl="5" w:tplc="2C5C1E34">
      <w:start w:val="1"/>
      <w:numFmt w:val="lowerRoman"/>
      <w:lvlText w:val="%6."/>
      <w:lvlJc w:val="right"/>
      <w:pPr>
        <w:ind w:left="4320" w:hanging="180"/>
      </w:pPr>
    </w:lvl>
    <w:lvl w:ilvl="6" w:tplc="FA320B90">
      <w:start w:val="1"/>
      <w:numFmt w:val="decimal"/>
      <w:lvlText w:val="%7."/>
      <w:lvlJc w:val="left"/>
      <w:pPr>
        <w:ind w:left="5040" w:hanging="360"/>
      </w:pPr>
    </w:lvl>
    <w:lvl w:ilvl="7" w:tplc="15920264">
      <w:start w:val="1"/>
      <w:numFmt w:val="lowerLetter"/>
      <w:lvlText w:val="%8."/>
      <w:lvlJc w:val="left"/>
      <w:pPr>
        <w:ind w:left="5760" w:hanging="360"/>
      </w:pPr>
    </w:lvl>
    <w:lvl w:ilvl="8" w:tplc="0E3420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361778"/>
    <w:multiLevelType w:val="multilevel"/>
    <w:tmpl w:val="0409001D"/>
    <w:numStyleLink w:val="1ai"/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200DA"/>
    <w:multiLevelType w:val="multilevel"/>
    <w:tmpl w:val="B91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6464468">
    <w:abstractNumId w:val="13"/>
  </w:num>
  <w:num w:numId="2" w16cid:durableId="1096756267">
    <w:abstractNumId w:val="28"/>
  </w:num>
  <w:num w:numId="3" w16cid:durableId="469791895">
    <w:abstractNumId w:val="0"/>
  </w:num>
  <w:num w:numId="4" w16cid:durableId="612713191">
    <w:abstractNumId w:val="1"/>
  </w:num>
  <w:num w:numId="5" w16cid:durableId="99420928">
    <w:abstractNumId w:val="2"/>
  </w:num>
  <w:num w:numId="6" w16cid:durableId="1401368573">
    <w:abstractNumId w:val="3"/>
  </w:num>
  <w:num w:numId="7" w16cid:durableId="1629051087">
    <w:abstractNumId w:val="8"/>
  </w:num>
  <w:num w:numId="8" w16cid:durableId="1666938059">
    <w:abstractNumId w:val="4"/>
  </w:num>
  <w:num w:numId="9" w16cid:durableId="728916109">
    <w:abstractNumId w:val="5"/>
  </w:num>
  <w:num w:numId="10" w16cid:durableId="167451758">
    <w:abstractNumId w:val="6"/>
  </w:num>
  <w:num w:numId="11" w16cid:durableId="1780100818">
    <w:abstractNumId w:val="7"/>
  </w:num>
  <w:num w:numId="12" w16cid:durableId="1383942745">
    <w:abstractNumId w:val="12"/>
  </w:num>
  <w:num w:numId="13" w16cid:durableId="737746897">
    <w:abstractNumId w:val="36"/>
  </w:num>
  <w:num w:numId="14" w16cid:durableId="1723216641">
    <w:abstractNumId w:val="16"/>
  </w:num>
  <w:num w:numId="15" w16cid:durableId="341276121">
    <w:abstractNumId w:val="22"/>
  </w:num>
  <w:num w:numId="16" w16cid:durableId="2126997654">
    <w:abstractNumId w:val="24"/>
  </w:num>
  <w:num w:numId="17" w16cid:durableId="342443878">
    <w:abstractNumId w:val="21"/>
  </w:num>
  <w:num w:numId="18" w16cid:durableId="535235710">
    <w:abstractNumId w:val="27"/>
  </w:num>
  <w:num w:numId="19" w16cid:durableId="1515419155">
    <w:abstractNumId w:val="11"/>
  </w:num>
  <w:num w:numId="20" w16cid:durableId="808472618">
    <w:abstractNumId w:val="30"/>
  </w:num>
  <w:num w:numId="21" w16cid:durableId="964579175">
    <w:abstractNumId w:val="23"/>
  </w:num>
  <w:num w:numId="22" w16cid:durableId="972515020">
    <w:abstractNumId w:val="31"/>
  </w:num>
  <w:num w:numId="23" w16cid:durableId="2017070855">
    <w:abstractNumId w:val="29"/>
  </w:num>
  <w:num w:numId="24" w16cid:durableId="1934971212">
    <w:abstractNumId w:val="33"/>
  </w:num>
  <w:num w:numId="25" w16cid:durableId="55396001">
    <w:abstractNumId w:val="18"/>
  </w:num>
  <w:num w:numId="26" w16cid:durableId="564267672">
    <w:abstractNumId w:val="20"/>
  </w:num>
  <w:num w:numId="27" w16cid:durableId="1290012318">
    <w:abstractNumId w:val="35"/>
  </w:num>
  <w:num w:numId="28" w16cid:durableId="1982924222">
    <w:abstractNumId w:val="15"/>
  </w:num>
  <w:num w:numId="29" w16cid:durableId="1779909773">
    <w:abstractNumId w:val="38"/>
  </w:num>
  <w:num w:numId="30" w16cid:durableId="926964213">
    <w:abstractNumId w:val="19"/>
  </w:num>
  <w:num w:numId="31" w16cid:durableId="404885841">
    <w:abstractNumId w:val="34"/>
  </w:num>
  <w:num w:numId="32" w16cid:durableId="378211099">
    <w:abstractNumId w:val="17"/>
  </w:num>
  <w:num w:numId="33" w16cid:durableId="936404406">
    <w:abstractNumId w:val="25"/>
  </w:num>
  <w:num w:numId="34" w16cid:durableId="1162307108">
    <w:abstractNumId w:val="32"/>
  </w:num>
  <w:num w:numId="35" w16cid:durableId="2017454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286914">
    <w:abstractNumId w:val="10"/>
  </w:num>
  <w:num w:numId="37" w16cid:durableId="1581209037">
    <w:abstractNumId w:val="14"/>
  </w:num>
  <w:num w:numId="38" w16cid:durableId="305087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9053480">
    <w:abstractNumId w:val="26"/>
  </w:num>
  <w:num w:numId="40" w16cid:durableId="743454938">
    <w:abstractNumId w:val="37"/>
  </w:num>
  <w:num w:numId="41" w16cid:durableId="88062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12E3"/>
    <w:rsid w:val="00003805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8732E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01198"/>
    <w:rsid w:val="00122D98"/>
    <w:rsid w:val="00123B6F"/>
    <w:rsid w:val="00134223"/>
    <w:rsid w:val="00164724"/>
    <w:rsid w:val="001708DC"/>
    <w:rsid w:val="00180C5F"/>
    <w:rsid w:val="00191D1F"/>
    <w:rsid w:val="00197EE4"/>
    <w:rsid w:val="001B198D"/>
    <w:rsid w:val="001B31FB"/>
    <w:rsid w:val="001B5068"/>
    <w:rsid w:val="001C122B"/>
    <w:rsid w:val="001E501C"/>
    <w:rsid w:val="001F21B1"/>
    <w:rsid w:val="00203015"/>
    <w:rsid w:val="002040D1"/>
    <w:rsid w:val="00205EF6"/>
    <w:rsid w:val="00206BC2"/>
    <w:rsid w:val="002206A7"/>
    <w:rsid w:val="002273F3"/>
    <w:rsid w:val="00230E09"/>
    <w:rsid w:val="0023455E"/>
    <w:rsid w:val="00235EFD"/>
    <w:rsid w:val="00245326"/>
    <w:rsid w:val="002529F2"/>
    <w:rsid w:val="00252F12"/>
    <w:rsid w:val="00252FA6"/>
    <w:rsid w:val="00255139"/>
    <w:rsid w:val="0025740E"/>
    <w:rsid w:val="00271D4B"/>
    <w:rsid w:val="00272F96"/>
    <w:rsid w:val="002835B9"/>
    <w:rsid w:val="0029171F"/>
    <w:rsid w:val="002A4F50"/>
    <w:rsid w:val="002B2056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748A1"/>
    <w:rsid w:val="00482219"/>
    <w:rsid w:val="00484CDF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2497"/>
    <w:rsid w:val="005738A7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53DDD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55BC9"/>
    <w:rsid w:val="00862CA0"/>
    <w:rsid w:val="00871A07"/>
    <w:rsid w:val="00871E07"/>
    <w:rsid w:val="00872FD8"/>
    <w:rsid w:val="00875A7E"/>
    <w:rsid w:val="00875E05"/>
    <w:rsid w:val="008823B2"/>
    <w:rsid w:val="008866FF"/>
    <w:rsid w:val="00892172"/>
    <w:rsid w:val="00895B5D"/>
    <w:rsid w:val="00897595"/>
    <w:rsid w:val="008B2095"/>
    <w:rsid w:val="008C01CA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80407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D22BB"/>
    <w:rsid w:val="009D2795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91207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5CB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1B07"/>
    <w:rsid w:val="00C04795"/>
    <w:rsid w:val="00C31D32"/>
    <w:rsid w:val="00C36722"/>
    <w:rsid w:val="00C370C7"/>
    <w:rsid w:val="00C37949"/>
    <w:rsid w:val="00C37D7A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231D"/>
    <w:rsid w:val="00CB5C67"/>
    <w:rsid w:val="00CC5376"/>
    <w:rsid w:val="00CD06BE"/>
    <w:rsid w:val="00CD26E7"/>
    <w:rsid w:val="00CE0767"/>
    <w:rsid w:val="00CE3824"/>
    <w:rsid w:val="00CE3D01"/>
    <w:rsid w:val="00CF5EE0"/>
    <w:rsid w:val="00D103FD"/>
    <w:rsid w:val="00D10DA4"/>
    <w:rsid w:val="00D1195C"/>
    <w:rsid w:val="00D14734"/>
    <w:rsid w:val="00D2041D"/>
    <w:rsid w:val="00D258A0"/>
    <w:rsid w:val="00D26C05"/>
    <w:rsid w:val="00D321E6"/>
    <w:rsid w:val="00D32C74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5C2E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65DD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43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5800"/>
    <w:rsid w:val="00FA00A9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3A94"/>
    <w:rsid w:val="00FF4464"/>
    <w:rsid w:val="04C072AD"/>
    <w:rsid w:val="05529504"/>
    <w:rsid w:val="05CA408E"/>
    <w:rsid w:val="09BF22C6"/>
    <w:rsid w:val="0A818597"/>
    <w:rsid w:val="0AC97469"/>
    <w:rsid w:val="0DC5350B"/>
    <w:rsid w:val="0DCADCC0"/>
    <w:rsid w:val="0F44328A"/>
    <w:rsid w:val="0F8AD094"/>
    <w:rsid w:val="1088AA58"/>
    <w:rsid w:val="11D7042D"/>
    <w:rsid w:val="125C0E21"/>
    <w:rsid w:val="1355CEBB"/>
    <w:rsid w:val="1452BACC"/>
    <w:rsid w:val="14CD5C33"/>
    <w:rsid w:val="151D2906"/>
    <w:rsid w:val="1596AA33"/>
    <w:rsid w:val="15CBA533"/>
    <w:rsid w:val="16292722"/>
    <w:rsid w:val="16B29EBF"/>
    <w:rsid w:val="17224139"/>
    <w:rsid w:val="19BD53B0"/>
    <w:rsid w:val="1AD6C3B7"/>
    <w:rsid w:val="1CD20612"/>
    <w:rsid w:val="1F0A71FB"/>
    <w:rsid w:val="2370FE04"/>
    <w:rsid w:val="23AF5370"/>
    <w:rsid w:val="23BD6160"/>
    <w:rsid w:val="24CA06CD"/>
    <w:rsid w:val="2A317C78"/>
    <w:rsid w:val="2B7E574A"/>
    <w:rsid w:val="2C316B8D"/>
    <w:rsid w:val="2C44A5E1"/>
    <w:rsid w:val="2E5E503E"/>
    <w:rsid w:val="2EDB5B3B"/>
    <w:rsid w:val="2F4F0547"/>
    <w:rsid w:val="303BC3E5"/>
    <w:rsid w:val="30D61845"/>
    <w:rsid w:val="3322A6AB"/>
    <w:rsid w:val="33F8F04F"/>
    <w:rsid w:val="35F70F21"/>
    <w:rsid w:val="37DAB925"/>
    <w:rsid w:val="37ED90C2"/>
    <w:rsid w:val="382E3994"/>
    <w:rsid w:val="3838FC4F"/>
    <w:rsid w:val="3A13B988"/>
    <w:rsid w:val="3A797BFB"/>
    <w:rsid w:val="3F557F8C"/>
    <w:rsid w:val="411CDC85"/>
    <w:rsid w:val="42E54D99"/>
    <w:rsid w:val="43313F77"/>
    <w:rsid w:val="43412840"/>
    <w:rsid w:val="4447ADA8"/>
    <w:rsid w:val="453AAE83"/>
    <w:rsid w:val="457FDA12"/>
    <w:rsid w:val="479327F8"/>
    <w:rsid w:val="48AAE7C8"/>
    <w:rsid w:val="498DE15E"/>
    <w:rsid w:val="4A20D73B"/>
    <w:rsid w:val="4B6444B9"/>
    <w:rsid w:val="4BB6E487"/>
    <w:rsid w:val="510DD831"/>
    <w:rsid w:val="558E6500"/>
    <w:rsid w:val="5941FB11"/>
    <w:rsid w:val="59D43C85"/>
    <w:rsid w:val="5A712218"/>
    <w:rsid w:val="5C1206C3"/>
    <w:rsid w:val="5C2E72DD"/>
    <w:rsid w:val="5C9224B6"/>
    <w:rsid w:val="5D01B820"/>
    <w:rsid w:val="5E445BF8"/>
    <w:rsid w:val="5E5D0A1C"/>
    <w:rsid w:val="62776DC5"/>
    <w:rsid w:val="62FE99B1"/>
    <w:rsid w:val="6303B702"/>
    <w:rsid w:val="63426B34"/>
    <w:rsid w:val="6435DC87"/>
    <w:rsid w:val="65159CA7"/>
    <w:rsid w:val="6A136804"/>
    <w:rsid w:val="6B158E3D"/>
    <w:rsid w:val="6BFB908E"/>
    <w:rsid w:val="6CA04932"/>
    <w:rsid w:val="6CADE425"/>
    <w:rsid w:val="6D39E830"/>
    <w:rsid w:val="703D23F8"/>
    <w:rsid w:val="708D38D9"/>
    <w:rsid w:val="735F4365"/>
    <w:rsid w:val="73EE22CA"/>
    <w:rsid w:val="74C01396"/>
    <w:rsid w:val="75209E16"/>
    <w:rsid w:val="7520FDFC"/>
    <w:rsid w:val="754E72E8"/>
    <w:rsid w:val="7668F6FE"/>
    <w:rsid w:val="76E31327"/>
    <w:rsid w:val="77DD6446"/>
    <w:rsid w:val="78A31DD2"/>
    <w:rsid w:val="79FC8260"/>
    <w:rsid w:val="7A5536FD"/>
    <w:rsid w:val="7AF46CF5"/>
    <w:rsid w:val="7BCA111D"/>
    <w:rsid w:val="7C1EE45C"/>
    <w:rsid w:val="7D5BD8FB"/>
    <w:rsid w:val="7E8D9256"/>
    <w:rsid w:val="7F1EF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BC23A77E-6FE2-42E9-9D0D-7B2CBEF2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9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8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2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1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10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5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4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3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5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C3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C37D7A"/>
  </w:style>
  <w:style w:type="character" w:customStyle="1" w:styleId="eop">
    <w:name w:val="eop"/>
    <w:basedOn w:val="DefaultParagraphFont"/>
    <w:rsid w:val="00C3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BE6AD2A-9596-442C-9FE1-91E818F5353C}">
    <t:Anchor>
      <t:Comment id="698761153"/>
    </t:Anchor>
    <t:History>
      <t:Event id="{612B7B38-E52E-41F7-AC83-8EFF72F652C4}" time="2025-05-07T13:30:17.72Z">
        <t:Attribution userId="S::jason.grbavac@ieso.ca::47ed4867-6207-415e-8a66-5a4224124a0c" userProvider="AD" userName="Jason Grbavac"/>
        <t:Anchor>
          <t:Comment id="698761153"/>
        </t:Anchor>
        <t:Create/>
      </t:Event>
      <t:Event id="{760E8A46-024F-4C7D-85F2-F1661DC723B2}" time="2025-05-07T13:30:17.72Z">
        <t:Attribution userId="S::jason.grbavac@ieso.ca::47ed4867-6207-415e-8a66-5a4224124a0c" userProvider="AD" userName="Jason Grbavac"/>
        <t:Anchor>
          <t:Comment id="698761153"/>
        </t:Anchor>
        <t:Assign userId="S::shreya.dutta@ieso.ca::f6be4368-3072-4ad3-8ae7-84e05cf28b1b" userProvider="AD" userName="Shreya Dutta"/>
      </t:Event>
      <t:Event id="{FFA383B2-611B-4AFA-BE9E-0B775C320358}" time="2025-05-07T13:30:17.72Z">
        <t:Attribution userId="S::jason.grbavac@ieso.ca::47ed4867-6207-415e-8a66-5a4224124a0c" userProvider="AD" userName="Jason Grbavac"/>
        <t:Anchor>
          <t:Comment id="698761153"/>
        </t:Anchor>
        <t:SetTitle title="These specific feedback questions were used in November and should be replaced by the S/H design team once there is more clarity on the design topics being included in the July session/presentation. @Shreya Dutta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234F96EC8467CAAA754C4C182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68FD-B5EA-44F3-B8AC-1CF1AAA4E633}"/>
      </w:docPartPr>
      <w:docPartBody>
        <w:p w:rsidR="00892C59" w:rsidRDefault="00892C59" w:rsidP="00892C59">
          <w:pPr>
            <w:pStyle w:val="87A234F96EC8467CAAA754C4C1821C7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012E3"/>
    <w:rsid w:val="0002346C"/>
    <w:rsid w:val="000608F2"/>
    <w:rsid w:val="000913E5"/>
    <w:rsid w:val="000965B7"/>
    <w:rsid w:val="001B5299"/>
    <w:rsid w:val="0021047A"/>
    <w:rsid w:val="00252F12"/>
    <w:rsid w:val="002B2056"/>
    <w:rsid w:val="003019DE"/>
    <w:rsid w:val="004F0767"/>
    <w:rsid w:val="00525F43"/>
    <w:rsid w:val="00534343"/>
    <w:rsid w:val="00541CBE"/>
    <w:rsid w:val="00572497"/>
    <w:rsid w:val="00731377"/>
    <w:rsid w:val="00774947"/>
    <w:rsid w:val="007E01B9"/>
    <w:rsid w:val="00892C59"/>
    <w:rsid w:val="00966CA8"/>
    <w:rsid w:val="00A548C1"/>
    <w:rsid w:val="00A766C1"/>
    <w:rsid w:val="00AF45CB"/>
    <w:rsid w:val="00B513C0"/>
    <w:rsid w:val="00C545E1"/>
    <w:rsid w:val="00C7617A"/>
    <w:rsid w:val="00CB5C67"/>
    <w:rsid w:val="00D32C74"/>
    <w:rsid w:val="00DA5C2E"/>
    <w:rsid w:val="00E6443C"/>
    <w:rsid w:val="00EF43F0"/>
    <w:rsid w:val="00F7185E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C5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7A234F96EC8467CAAA754C4C1821C71">
    <w:name w:val="87A234F96EC8467CAAA754C4C1821C71"/>
    <w:rsid w:val="00892C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6ab28-f9a4-4449-b601-83d227bcf9c3">
      <Terms xmlns="http://schemas.microsoft.com/office/infopath/2007/PartnerControls"/>
    </lcf76f155ced4ddcb4097134ff3c332f>
    <TaxCatchAll xmlns="1ef0f256-2d2c-4b41-a679-2504c15b1e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5D53D35DCC46A2074724C79DA9D6" ma:contentTypeVersion="12" ma:contentTypeDescription="Create a new document." ma:contentTypeScope="" ma:versionID="c96ab85bbdd75b374ead473dd3266171">
  <xsd:schema xmlns:xsd="http://www.w3.org/2001/XMLSchema" xmlns:xs="http://www.w3.org/2001/XMLSchema" xmlns:p="http://schemas.microsoft.com/office/2006/metadata/properties" xmlns:ns2="8876ab28-f9a4-4449-b601-83d227bcf9c3" xmlns:ns3="1ef0f256-2d2c-4b41-a679-2504c15b1e3c" targetNamespace="http://schemas.microsoft.com/office/2006/metadata/properties" ma:root="true" ma:fieldsID="bed6aad5b29d0114e3136067161d979d" ns2:_="" ns3:_="">
    <xsd:import namespace="8876ab28-f9a4-4449-b601-83d227bcf9c3"/>
    <xsd:import namespace="1ef0f256-2d2c-4b41-a679-2504c15b1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ab28-f9a4-4449-b601-83d227bcf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f256-2d2c-4b41-a679-2504c15b1e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c31580-e0ed-463a-8794-4c39fa178ca5}" ma:internalName="TaxCatchAll" ma:showField="CatchAllData" ma:web="1ef0f256-2d2c-4b41-a679-2504c15b1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8876ab28-f9a4-4449-b601-83d227bcf9c3"/>
    <ds:schemaRef ds:uri="1ef0f256-2d2c-4b41-a679-2504c15b1e3c"/>
  </ds:schemaRefs>
</ds:datastoreItem>
</file>

<file path=customXml/itemProps3.xml><?xml version="1.0" encoding="utf-8"?>
<ds:datastoreItem xmlns:ds="http://schemas.openxmlformats.org/officeDocument/2006/customXml" ds:itemID="{54CC467A-434A-472C-AE18-8F16C840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6ab28-f9a4-4449-b601-83d227bcf9c3"/>
    <ds:schemaRef ds:uri="1ef0f256-2d2c-4b41-a679-2504c15b1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492</Words>
  <Characters>2808</Characters>
  <Application>Microsoft Office Word</Application>
  <DocSecurity>0</DocSecurity>
  <Lines>23</Lines>
  <Paragraphs>6</Paragraphs>
  <ScaleCrop>false</ScaleCrop>
  <Manager/>
  <Company>Independent Electricity System Operator</Company>
  <LinksUpToDate>false</LinksUpToDate>
  <CharactersWithSpaces>3294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2025-07-25T16:50:00Z</dcterms:created>
  <dcterms:modified xsi:type="dcterms:W3CDTF">2025-07-25T16:50:00Z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0x010100368E5D53D35DCC46A2074724C79DA9D6</vt:lpwstr>
  </property>
  <property fmtid="{D5CDD505-2E9C-101B-9397-08002B2CF9AE}" pid="3" name="MediaServiceImageTags">
    <vt:lpwstr/>
  </property>
</Properties>
</file>