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4E9CAAB5" w:rsidR="00D56AEC" w:rsidRDefault="00113C89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67BA49" wp14:editId="0E5E39AE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281420" cy="1463040"/>
                <wp:effectExtent l="0" t="0" r="5080" b="3810"/>
                <wp:wrapTopAndBottom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BBE2D" w14:textId="77777777" w:rsidR="0035658F" w:rsidRPr="006F582B" w:rsidRDefault="002040D1" w:rsidP="00E721C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7BA49" id="_x0000_s1026" alt="Decorative" style="position:absolute;margin-left:-1.5pt;margin-top:0;width:494.6pt;height:115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280BBE2D" w14:textId="77777777" w:rsidR="0035658F" w:rsidRPr="006F582B" w:rsidRDefault="002040D1" w:rsidP="00E721C1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5658F">
        <w:rPr>
          <w:noProof/>
        </w:rPr>
        <mc:AlternateContent>
          <mc:Choice Requires="wps">
            <w:drawing>
              <wp:inline distT="0" distB="0" distL="0" distR="0" wp14:anchorId="477136F9" wp14:editId="5D56C333">
                <wp:extent cx="6281420" cy="1085850"/>
                <wp:effectExtent l="0" t="0" r="5080" b="0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085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E721C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136F9" id="Rectangle 4" o:spid="_x0000_s1027" alt="Decorative" style="width:494.6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E721C1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43953EC" w14:textId="341CC41F" w:rsidR="00D56AEC" w:rsidRDefault="65159CA7" w:rsidP="00456376">
      <w:pPr>
        <w:pStyle w:val="BodyText"/>
      </w:pPr>
      <w:r>
        <w:t xml:space="preserve"> </w:t>
      </w:r>
    </w:p>
    <w:p w14:paraId="1814FA20" w14:textId="249F21E8" w:rsidR="005A5EF9" w:rsidRDefault="005A5EF9" w:rsidP="005A5EF9">
      <w:pPr>
        <w:pStyle w:val="YellowBarHeading2"/>
      </w:pPr>
    </w:p>
    <w:p w14:paraId="5DCE5DD0" w14:textId="3EC4746C" w:rsidR="006F582B" w:rsidRDefault="00D42253" w:rsidP="006F582B">
      <w:pPr>
        <w:pStyle w:val="Heading2"/>
      </w:pPr>
      <w:r w:rsidRPr="00D42253">
        <w:t>Hydrogen Innovation Fund</w:t>
      </w:r>
      <w:r w:rsidR="00564E6C">
        <w:t xml:space="preserve">: </w:t>
      </w:r>
      <w:r w:rsidR="00564E6C" w:rsidRPr="00564E6C">
        <w:rPr>
          <w:lang w:val="en-US"/>
        </w:rPr>
        <w:t>Draft Application Guideline (Program Rules) and Materials</w:t>
      </w:r>
      <w:r>
        <w:t xml:space="preserve"> Webinar</w:t>
      </w:r>
      <w:r w:rsidR="007A1A30">
        <w:t xml:space="preserve">– </w:t>
      </w:r>
      <w:r>
        <w:t>February</w:t>
      </w:r>
      <w:r w:rsidR="00564E6C">
        <w:t xml:space="preserve"> 22</w:t>
      </w:r>
      <w:r w:rsidR="007A1A30">
        <w:t xml:space="preserve">, </w:t>
      </w:r>
      <w:r w:rsidR="00564E6C">
        <w:t>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48D15DEC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D42253">
        <w:rPr>
          <w:rFonts w:eastAsiaTheme="minorEastAsia" w:cs="Tahoma"/>
          <w:szCs w:val="22"/>
          <w:lang w:val="en-US"/>
        </w:rPr>
        <w:t>February 22,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  <w:r w:rsidR="00AE6F67">
        <w:rPr>
          <w:rFonts w:eastAsiaTheme="minorEastAsia" w:cs="Tahoma"/>
          <w:szCs w:val="22"/>
          <w:lang w:val="en-US"/>
        </w:rPr>
        <w:t xml:space="preserve"> For more details on the Hydrogen Innovation Fund, please see the </w:t>
      </w:r>
      <w:hyperlink r:id="rId11" w:history="1">
        <w:r w:rsidR="00AE6F67" w:rsidRPr="00AE6F67">
          <w:rPr>
            <w:rStyle w:val="Hyperlink"/>
            <w:rFonts w:eastAsiaTheme="minorEastAsia" w:cs="Tahoma"/>
            <w:noProof w:val="0"/>
            <w:szCs w:val="22"/>
            <w:u w:color="8CD2F3" w:themeColor="background2"/>
            <w:lang w:val="en-US"/>
          </w:rPr>
          <w:t>Low-Carbon Hydrogen Strategy engagement page</w:t>
        </w:r>
      </w:hyperlink>
      <w:bookmarkStart w:id="0" w:name="_GoBack"/>
      <w:bookmarkEnd w:id="0"/>
      <w:r w:rsidR="00AE6F67">
        <w:rPr>
          <w:rFonts w:eastAsiaTheme="minorEastAsia" w:cs="Tahoma"/>
          <w:szCs w:val="22"/>
          <w:lang w:val="en-US"/>
        </w:rPr>
        <w:t xml:space="preserve">. </w:t>
      </w:r>
    </w:p>
    <w:p w14:paraId="5C15A2B6" w14:textId="6186A265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D42253">
        <w:rPr>
          <w:rFonts w:eastAsiaTheme="minorEastAsia" w:cs="Tahoma"/>
          <w:b/>
          <w:szCs w:val="22"/>
          <w:lang w:val="en-US"/>
        </w:rPr>
        <w:t>March 8,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4DDBFD19" w:rsidR="00C04795" w:rsidRPr="004200EA" w:rsidRDefault="00D42253" w:rsidP="00EF1F49">
      <w:pPr>
        <w:pStyle w:val="Heading3"/>
      </w:pPr>
      <w:bookmarkStart w:id="1" w:name="_Toc35868671"/>
      <w:r w:rsidRPr="00D42253">
        <w:lastRenderedPageBreak/>
        <w:t>Funding</w:t>
      </w:r>
      <w:r>
        <w:t xml:space="preserve"> Requirements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Topic"/>
        <w:tblDescription w:val="Topic: header of the table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0CF15DE" w:rsidR="004200EA" w:rsidRPr="006B7128" w:rsidRDefault="00D42253" w:rsidP="00EF1F49">
            <w:pPr>
              <w:pStyle w:val="TableNumeralsLeftAlignment"/>
            </w:pPr>
            <w:r>
              <w:t>Do you have any g</w:t>
            </w:r>
            <w:r w:rsidRPr="00D42253">
              <w:t xml:space="preserve">eneral feedback on </w:t>
            </w:r>
            <w:r>
              <w:t xml:space="preserve">the </w:t>
            </w:r>
            <w:r w:rsidRPr="00D42253">
              <w:t>funding requirements</w:t>
            </w:r>
            <w:r>
              <w:t xml:space="preserve">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33DA7E85" w:rsidR="00915C81" w:rsidRDefault="00D42253" w:rsidP="00915C81">
      <w:pPr>
        <w:pStyle w:val="Heading3"/>
      </w:pPr>
      <w:r w:rsidRPr="00D42253">
        <w:t>Evaluation Criteria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Topic"/>
        <w:tblDescription w:val="Topic:: header of the table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18D8AB54" w:rsidR="00915C81" w:rsidRPr="006B7128" w:rsidRDefault="00D42253" w:rsidP="00050EB5">
            <w:pPr>
              <w:pStyle w:val="TableNumeralsLeftAlignment"/>
            </w:pPr>
            <w:r w:rsidRPr="00D42253">
              <w:t>Are the evaluation criteria clear and complete?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C7E01" w14:textId="77777777" w:rsidR="00E83784" w:rsidRDefault="00E83784" w:rsidP="00F83314">
      <w:r>
        <w:separator/>
      </w:r>
    </w:p>
    <w:p w14:paraId="7B0AE9DD" w14:textId="77777777" w:rsidR="00E83784" w:rsidRDefault="00E83784"/>
  </w:endnote>
  <w:endnote w:type="continuationSeparator" w:id="0">
    <w:p w14:paraId="555A539A" w14:textId="77777777" w:rsidR="00E83784" w:rsidRDefault="00E83784" w:rsidP="00F83314">
      <w:r>
        <w:continuationSeparator/>
      </w:r>
    </w:p>
    <w:p w14:paraId="054624F9" w14:textId="77777777" w:rsidR="00E83784" w:rsidRDefault="00E8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F160" w14:textId="77777777" w:rsidR="00F71C4F" w:rsidRDefault="00F71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A327A4F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6F6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05FB71E" w:rsidR="00C6016F" w:rsidRDefault="00991B27" w:rsidP="00871E07">
    <w:pPr>
      <w:pStyle w:val="Footer"/>
      <w:ind w:right="360"/>
    </w:pPr>
    <w:r>
      <w:t>Title of Engagement</w:t>
    </w:r>
    <w:r w:rsidR="00FC7434">
      <w:t xml:space="preserve">, </w:t>
    </w:r>
    <w:r>
      <w:t>Day</w:t>
    </w:r>
    <w:r w:rsidR="00FC7434">
      <w:t>/</w:t>
    </w:r>
    <w:r>
      <w:t>Month</w:t>
    </w:r>
    <w:r w:rsidR="00FC7434">
      <w:t>/</w:t>
    </w:r>
    <w:r>
      <w:t>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2DEFBE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6A11B85" wp14:editId="7C9975DB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432" cy="539496"/>
          <wp:effectExtent l="0" t="0" r="0" b="0"/>
          <wp:wrapSquare wrapText="bothSides"/>
          <wp:docPr id="13" name="Picture 13" descr="Independent Electricity System Operator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8378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16CC" w14:textId="77777777" w:rsidR="00E83784" w:rsidRDefault="00E83784">
      <w:r>
        <w:separator/>
      </w:r>
    </w:p>
  </w:footnote>
  <w:footnote w:type="continuationSeparator" w:id="0">
    <w:p w14:paraId="5D2B53B4" w14:textId="77777777" w:rsidR="00E83784" w:rsidRDefault="00E83784" w:rsidP="00F83314">
      <w:r>
        <w:continuationSeparator/>
      </w:r>
    </w:p>
    <w:p w14:paraId="62371307" w14:textId="77777777" w:rsidR="00E83784" w:rsidRDefault="00E83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92103" w14:textId="77777777" w:rsidR="00F71C4F" w:rsidRDefault="00F71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C5F0" w14:textId="77777777" w:rsidR="00F71C4F" w:rsidRDefault="00F71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0241E" w14:textId="77777777" w:rsidR="00F71C4F" w:rsidRDefault="00F71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BF907838"/>
    <w:lvl w:ilvl="0" w:tplc="8F484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83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8F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B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CE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42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C8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9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42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E243E"/>
    <w:rsid w:val="000F12F2"/>
    <w:rsid w:val="000F55DA"/>
    <w:rsid w:val="00113C89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5A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45B6"/>
    <w:rsid w:val="00482219"/>
    <w:rsid w:val="00497849"/>
    <w:rsid w:val="004C1610"/>
    <w:rsid w:val="004D5A69"/>
    <w:rsid w:val="004D7C5F"/>
    <w:rsid w:val="004E0F5C"/>
    <w:rsid w:val="004E5773"/>
    <w:rsid w:val="004F115E"/>
    <w:rsid w:val="00502752"/>
    <w:rsid w:val="005066CE"/>
    <w:rsid w:val="005240BF"/>
    <w:rsid w:val="005250E4"/>
    <w:rsid w:val="00536D37"/>
    <w:rsid w:val="00540C81"/>
    <w:rsid w:val="00546F8B"/>
    <w:rsid w:val="00555588"/>
    <w:rsid w:val="00560680"/>
    <w:rsid w:val="00564E6C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401D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B7B0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6F67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B3F88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1C91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2253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21C1"/>
    <w:rsid w:val="00E74C15"/>
    <w:rsid w:val="00E74FCC"/>
    <w:rsid w:val="00E75D9A"/>
    <w:rsid w:val="00E823D8"/>
    <w:rsid w:val="00E83784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4F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E721C1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1C1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54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Low-Carbon-Hydrogen-Strateg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3D3A80"/>
    <w:rsid w:val="00502635"/>
    <w:rsid w:val="00525F43"/>
    <w:rsid w:val="0054586E"/>
    <w:rsid w:val="00731377"/>
    <w:rsid w:val="0083027D"/>
    <w:rsid w:val="009306D7"/>
    <w:rsid w:val="00966CA8"/>
    <w:rsid w:val="00B513C0"/>
    <w:rsid w:val="00BF4139"/>
    <w:rsid w:val="00C311B1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55906E11-F526-46FB-A5E5-4D5528E3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Printed>2020-04-17T18:00:00Z</cp:lastPrinted>
  <dcterms:created xsi:type="dcterms:W3CDTF">2023-02-08T14:33:00Z</dcterms:created>
  <dcterms:modified xsi:type="dcterms:W3CDTF">2023-02-09T20:08:00Z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