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52683E8A" w:rsidR="00834980" w:rsidRDefault="00D12111" w:rsidP="00BD74AD">
      <w:pPr>
        <w:pStyle w:val="Heading2"/>
      </w:pPr>
      <w:r>
        <w:t>Long</w:t>
      </w:r>
      <w:r w:rsidR="00BD74AD">
        <w:t xml:space="preserve"> Lead-Time </w:t>
      </w:r>
      <w:r w:rsidR="51DD60D5">
        <w:t xml:space="preserve">Resource Procurement </w:t>
      </w:r>
      <w:r>
        <w:t xml:space="preserve">– </w:t>
      </w:r>
      <w:r w:rsidR="00BD74AD">
        <w:t xml:space="preserve">April 23, </w:t>
      </w:r>
      <w:r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57D18264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Long Lead-Time 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57D18264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Long Lead-Time 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52133656" w:rsidR="00834980" w:rsidRDefault="00D12111">
      <w:pPr>
        <w:pStyle w:val="BodyText"/>
      </w:pPr>
      <w:r>
        <w:t xml:space="preserve">Following the LT2 RFP </w:t>
      </w:r>
      <w:r w:rsidR="00BD74AD">
        <w:t xml:space="preserve">April 23, </w:t>
      </w:r>
      <w:r>
        <w:t>2024, engagement webinar, the Independent Electricity System Operator (IESO) is seeking feedback from stakeholders on the items discussed. The presentation and recording can be accessed from the L</w:t>
      </w:r>
      <w:r w:rsidR="00BD74AD">
        <w:t>L</w:t>
      </w:r>
      <w:r>
        <w:t xml:space="preserve">T </w:t>
      </w:r>
      <w:r w:rsidR="00834980">
        <w:rPr>
          <w:rStyle w:val="Hyperlink0"/>
        </w:rPr>
        <w:t>engagement web page</w:t>
      </w:r>
      <w:r>
        <w:t>.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63ABAF4A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0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BD74AD">
        <w:rPr>
          <w:b/>
          <w:bCs/>
        </w:rPr>
        <w:t xml:space="preserve">May 9, </w:t>
      </w:r>
      <w:r>
        <w:rPr>
          <w:b/>
          <w:bCs/>
        </w:rPr>
        <w:t>202</w:t>
      </w:r>
      <w:r w:rsidR="00BD74AD">
        <w:rPr>
          <w:b/>
          <w:bCs/>
        </w:rPr>
        <w:t>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1E6D00AE" w14:textId="7B35213C" w:rsidR="00735E87" w:rsidRDefault="00735E87" w:rsidP="00BF54BB">
      <w:pPr>
        <w:pStyle w:val="BodyText"/>
      </w:pPr>
      <w:r w:rsidRPr="00735E8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Resource Eligibility: Hydroelectric Resources​</w:t>
      </w:r>
      <w:r w:rsidRPr="00735E87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35E8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​</w:t>
      </w:r>
      <w:r w:rsidRPr="00735E87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35E8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​</w:t>
      </w:r>
      <w:r>
        <w:t xml:space="preserve">Do you have any feedback regarding Hydroelectric </w:t>
      </w:r>
      <w:r w:rsidR="187BE759">
        <w:t>r</w:t>
      </w:r>
      <w:r>
        <w:t xml:space="preserve">esource eligibility? </w:t>
      </w:r>
    </w:p>
    <w:p w14:paraId="09231263" w14:textId="47D4AA7D" w:rsidR="00735E87" w:rsidRDefault="00735E87" w:rsidP="00BF54BB">
      <w:pPr>
        <w:pStyle w:val="BodyText"/>
      </w:pPr>
      <w:r>
        <w:t xml:space="preserve">The IESO is interested in any specific project information </w:t>
      </w:r>
      <w:r w:rsidR="6F1E3FE1">
        <w:t xml:space="preserve">regarding potential hydro redevelopments, expansions and upgrades looking to participate in the procurement </w:t>
      </w:r>
      <w:r w:rsidR="42189ACC">
        <w:t>to</w:t>
      </w:r>
      <w:r w:rsidR="3A954A6A">
        <w:t xml:space="preserve"> help inform eligibility</w:t>
      </w:r>
      <w:r w:rsidR="6F1E3FE1">
        <w:t>.</w:t>
      </w:r>
      <w:r>
        <w:t xml:space="preserve">  </w:t>
      </w:r>
    </w:p>
    <w:p w14:paraId="6211B9BE" w14:textId="77777777" w:rsidR="00735E87" w:rsidRDefault="00735E87" w:rsidP="00BF54BB">
      <w:pPr>
        <w:pStyle w:val="BodyText"/>
      </w:pPr>
    </w:p>
    <w:p w14:paraId="63D122F1" w14:textId="3A047F5D" w:rsidR="00735E87" w:rsidRPr="00735E87" w:rsidRDefault="00735E87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35E87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Resource Eligibility: LDES Resources</w:t>
      </w:r>
    </w:p>
    <w:p w14:paraId="3A6BF7B9" w14:textId="79516006" w:rsidR="00BF54BB" w:rsidRDefault="00EC27D0" w:rsidP="00BF54BB">
      <w:pPr>
        <w:pStyle w:val="BodyText"/>
      </w:pPr>
      <w:r>
        <w:t xml:space="preserve">Do you have any feedback </w:t>
      </w:r>
      <w:r w:rsidR="00735E87">
        <w:t xml:space="preserve">regarding LDES </w:t>
      </w:r>
      <w:r w:rsidR="638F66BA">
        <w:t>r</w:t>
      </w:r>
      <w:r w:rsidR="00735E87">
        <w:t>esource</w:t>
      </w:r>
      <w:r w:rsidR="1347D4A2">
        <w:t xml:space="preserve"> eligibility</w:t>
      </w:r>
      <w:r w:rsidR="2C181BE1">
        <w:t>?</w:t>
      </w:r>
    </w:p>
    <w:p w14:paraId="3213EE81" w14:textId="71D7E3AB" w:rsidR="00BF54BB" w:rsidRDefault="1347D4A2" w:rsidP="00BF54BB">
      <w:pPr>
        <w:pStyle w:val="BodyText"/>
      </w:pPr>
      <w:r>
        <w:t xml:space="preserve">The IESO is looking for feedback to consider when developing </w:t>
      </w:r>
      <w:r w:rsidR="20A703EF">
        <w:t xml:space="preserve">the list of LDES technologies that will be eligible to participate in the procurement. </w:t>
      </w:r>
    </w:p>
    <w:p w14:paraId="41F340F7" w14:textId="77777777" w:rsidR="00E566E5" w:rsidRDefault="00E566E5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34E0A62C" w14:textId="3D97C2FD" w:rsidR="00735E87" w:rsidRDefault="5D1B9D28" w:rsidP="00102B98">
      <w:pPr>
        <w:pStyle w:val="BodyText"/>
        <w:rPr>
          <w:rFonts w:cs="Arial Unicode MS"/>
          <w:color w:val="003366"/>
          <w:sz w:val="28"/>
          <w:szCs w:val="28"/>
        </w:rPr>
      </w:pPr>
      <w:r w:rsidRPr="00102B98">
        <w:rPr>
          <w:rFonts w:eastAsia="Arial Unicode MS" w:cs="Arial Unicode MS"/>
          <w:color w:val="003366"/>
          <w:sz w:val="28"/>
          <w:szCs w:val="28"/>
        </w:rPr>
        <w:t>Term Length &amp; Commercial Operation</w:t>
      </w:r>
    </w:p>
    <w:p w14:paraId="3EEC53B7" w14:textId="1703D517" w:rsidR="00735E87" w:rsidRDefault="5D1B9D28" w:rsidP="0EDA0C7D">
      <w:pPr>
        <w:pStyle w:val="BodyText"/>
      </w:pPr>
      <w:r>
        <w:t>Do you have any feedback regarding the proposed term length and MCOD?</w:t>
      </w:r>
    </w:p>
    <w:p w14:paraId="0AB3BEBA" w14:textId="167F0C58" w:rsidR="00735E87" w:rsidRDefault="00735E87" w:rsidP="0EDA0C7D">
      <w:pPr>
        <w:pStyle w:val="BodyText"/>
        <w:rPr>
          <w:rFonts w:eastAsia="Arial Unicode MS" w:cs="Arial Unicode MS"/>
          <w:color w:val="003366"/>
          <w:sz w:val="28"/>
          <w:szCs w:val="28"/>
        </w:rPr>
      </w:pPr>
    </w:p>
    <w:p w14:paraId="562E4ECB" w14:textId="609F0A8C" w:rsidR="00735E87" w:rsidRDefault="00E566E5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E566E5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Mandatory Requirements</w:t>
      </w:r>
      <w:r w:rsidR="00C00D91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A116FDE" w14:textId="59E28E6B" w:rsidR="00E566E5" w:rsidRDefault="00E566E5" w:rsidP="0052753C">
      <w:pPr>
        <w:pStyle w:val="BodyText"/>
      </w:pPr>
      <w:r w:rsidRPr="00E566E5">
        <w:t xml:space="preserve">Do you have any feedback regarding </w:t>
      </w:r>
      <w:r>
        <w:t>the requirements noted</w:t>
      </w:r>
      <w:r w:rsidR="00C00D91">
        <w:t xml:space="preserve">? </w:t>
      </w:r>
    </w:p>
    <w:p w14:paraId="0A16FFAF" w14:textId="77777777" w:rsidR="00C00D91" w:rsidRDefault="00C00D91" w:rsidP="0052753C">
      <w:pPr>
        <w:pStyle w:val="BodyText"/>
      </w:pPr>
    </w:p>
    <w:p w14:paraId="1E5785BB" w14:textId="10D1E32F" w:rsidR="00C00D91" w:rsidRDefault="00C00D91" w:rsidP="00C00D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Rated Criteria </w:t>
      </w:r>
    </w:p>
    <w:p w14:paraId="6EB8043C" w14:textId="77777777" w:rsidR="00C00D91" w:rsidRDefault="00C00D91" w:rsidP="0052753C">
      <w:pPr>
        <w:pStyle w:val="BodyText"/>
      </w:pPr>
      <w:r>
        <w:t xml:space="preserve">Do you have any feedback regarding the rated criteria noted in the presentation? </w:t>
      </w:r>
    </w:p>
    <w:p w14:paraId="586177D3" w14:textId="77777777" w:rsidR="00C00D91" w:rsidRDefault="00C00D91" w:rsidP="0052753C">
      <w:pPr>
        <w:pStyle w:val="BodyText"/>
      </w:pPr>
    </w:p>
    <w:p w14:paraId="3DF5EB7A" w14:textId="07C1CB98" w:rsidR="00C00D91" w:rsidRDefault="00C00D91" w:rsidP="0052753C">
      <w:pPr>
        <w:pStyle w:val="BodyText"/>
      </w:pPr>
      <w:r>
        <w:t xml:space="preserve">Do you have suggestions on additional criteria </w:t>
      </w:r>
      <w:r w:rsidR="7D55024F">
        <w:t>that should be considered</w:t>
      </w:r>
      <w:r>
        <w:t xml:space="preserve"> as part of the LLT </w:t>
      </w:r>
      <w:r w:rsidR="5EC62F46">
        <w:t xml:space="preserve">Resource </w:t>
      </w:r>
      <w:r>
        <w:t xml:space="preserve">Procurement? </w:t>
      </w:r>
      <w:r w:rsidR="44FE18FF">
        <w:t xml:space="preserve">Please provide rationale to support any recommendations. </w:t>
      </w:r>
    </w:p>
    <w:p w14:paraId="1B38B358" w14:textId="77777777" w:rsidR="00E566E5" w:rsidRDefault="00E566E5" w:rsidP="0052753C">
      <w:pPr>
        <w:pStyle w:val="BodyText"/>
      </w:pPr>
    </w:p>
    <w:p w14:paraId="1B697470" w14:textId="5E3A321E" w:rsidR="00C00D91" w:rsidRDefault="00C00D91" w:rsidP="00C00D91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Proposal and Contract Security</w:t>
      </w:r>
    </w:p>
    <w:p w14:paraId="2C05D089" w14:textId="474A13E0" w:rsidR="00C00D91" w:rsidRDefault="00C00D91" w:rsidP="0052753C">
      <w:pPr>
        <w:pStyle w:val="BodyText"/>
      </w:pPr>
      <w:r>
        <w:t xml:space="preserve">Do you have any feedback </w:t>
      </w:r>
      <w:r w:rsidR="4F55BD03">
        <w:t>the IESO should consider when developing a proposal for this design item?</w:t>
      </w:r>
    </w:p>
    <w:p w14:paraId="0E9F2C8A" w14:textId="77777777" w:rsidR="00C00D91" w:rsidRDefault="00C00D91" w:rsidP="0052753C">
      <w:pPr>
        <w:pStyle w:val="BodyText"/>
      </w:pPr>
    </w:p>
    <w:p w14:paraId="3C5104A8" w14:textId="73E411ED" w:rsidR="00C00D91" w:rsidRDefault="00C00D91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C00D91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Contract Design Considerations </w:t>
      </w:r>
    </w:p>
    <w:p w14:paraId="046B624D" w14:textId="2F89B4FB" w:rsidR="00C00D91" w:rsidRPr="00C00D91" w:rsidRDefault="00C00D91" w:rsidP="00C00D91">
      <w:pPr>
        <w:pStyle w:val="BodyText"/>
      </w:pPr>
      <w:r>
        <w:t xml:space="preserve">Do you have any feedback on the contract design considerations discussed? </w:t>
      </w:r>
    </w:p>
    <w:p w14:paraId="564F218B" w14:textId="7A01395D" w:rsidR="00C00D91" w:rsidRPr="00C00D91" w:rsidRDefault="74D2351C" w:rsidP="00C00D91">
      <w:pPr>
        <w:pStyle w:val="BodyText"/>
      </w:pPr>
      <w:r>
        <w:t xml:space="preserve">The IESO is looking for feedback on the LT2 draft contracts to help </w:t>
      </w:r>
      <w:proofErr w:type="gramStart"/>
      <w:r>
        <w:t>inform</w:t>
      </w:r>
      <w:proofErr w:type="gramEnd"/>
      <w:r>
        <w:t xml:space="preserve"> design for the LLT contract. </w:t>
      </w:r>
      <w:r w:rsidR="396DF03B">
        <w:t xml:space="preserve">Please highlight any areas you think should be reconsidered for </w:t>
      </w:r>
      <w:r w:rsidR="00102B98">
        <w:t>LLT</w:t>
      </w:r>
      <w:r w:rsidR="396DF03B">
        <w:t xml:space="preserve"> resources;</w:t>
      </w:r>
      <w:r w:rsidR="00C00D91">
        <w:t xml:space="preserve"> provide as much detail and rationale as possible to help inform decision making. </w:t>
      </w:r>
    </w:p>
    <w:p w14:paraId="6F2B0431" w14:textId="77777777" w:rsidR="00C00D91" w:rsidRDefault="00C00D91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1"/>
      <w:headerReference w:type="first" r:id="rId12"/>
      <w:footerReference w:type="first" r:id="rId13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B836" w14:textId="77777777" w:rsidR="00D12111" w:rsidRDefault="00D12111">
      <w:r>
        <w:separator/>
      </w:r>
    </w:p>
  </w:endnote>
  <w:endnote w:type="continuationSeparator" w:id="0">
    <w:p w14:paraId="11C5484E" w14:textId="77777777" w:rsidR="00D12111" w:rsidRDefault="00D1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1291036B" w:rsidR="00834980" w:rsidRDefault="007D713D" w:rsidP="00682EBB">
    <w:pPr>
      <w:pStyle w:val="Footer"/>
      <w:tabs>
        <w:tab w:val="clear" w:pos="11333"/>
        <w:tab w:val="right" w:pos="9873"/>
      </w:tabs>
    </w:pPr>
    <w:r>
      <w:t>LLT Resource Procurement</w:t>
    </w:r>
    <w:r w:rsidR="00682EBB">
      <w:t xml:space="preserve">, </w:t>
    </w:r>
    <w:r>
      <w:t>23</w:t>
    </w:r>
    <w:r w:rsidR="00682EBB">
      <w:t>/</w:t>
    </w:r>
    <w:r>
      <w:t>April/</w:t>
    </w:r>
    <w:r w:rsidR="00682EBB">
      <w:t>202</w:t>
    </w:r>
    <w:r>
      <w:t>5</w:t>
    </w:r>
    <w:r w:rsidR="00682EBB">
      <w:t xml:space="preserve"> 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F487B" w14:textId="77777777" w:rsidR="00D12111" w:rsidRDefault="00D12111">
      <w:r>
        <w:separator/>
      </w:r>
    </w:p>
  </w:footnote>
  <w:footnote w:type="continuationSeparator" w:id="0">
    <w:p w14:paraId="1B6BB15E" w14:textId="77777777" w:rsidR="00D12111" w:rsidRDefault="00D1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102B98"/>
    <w:rsid w:val="001B4AF2"/>
    <w:rsid w:val="001D2D3B"/>
    <w:rsid w:val="001F3091"/>
    <w:rsid w:val="003020F1"/>
    <w:rsid w:val="004608C7"/>
    <w:rsid w:val="004D4FA8"/>
    <w:rsid w:val="0052753C"/>
    <w:rsid w:val="00577993"/>
    <w:rsid w:val="00682EBB"/>
    <w:rsid w:val="00735E87"/>
    <w:rsid w:val="007D713D"/>
    <w:rsid w:val="00834980"/>
    <w:rsid w:val="00873674"/>
    <w:rsid w:val="009851A6"/>
    <w:rsid w:val="00A2DC7A"/>
    <w:rsid w:val="00BD74AD"/>
    <w:rsid w:val="00BF54BB"/>
    <w:rsid w:val="00C00D91"/>
    <w:rsid w:val="00CB17F0"/>
    <w:rsid w:val="00D12111"/>
    <w:rsid w:val="00E566E5"/>
    <w:rsid w:val="00EC27D0"/>
    <w:rsid w:val="00F02804"/>
    <w:rsid w:val="00F21557"/>
    <w:rsid w:val="00F265E2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EDE051B90FE44824E1D5885632B5E" ma:contentTypeVersion="8" ma:contentTypeDescription="Create a new document." ma:contentTypeScope="" ma:versionID="088e324093359a7abd62c265bb91593a">
  <xsd:schema xmlns:xsd="http://www.w3.org/2001/XMLSchema" xmlns:xs="http://www.w3.org/2001/XMLSchema" xmlns:p="http://schemas.microsoft.com/office/2006/metadata/properties" xmlns:ns2="a861db3d-3048-432f-b757-22458df766e9" xmlns:ns3="9667159c-6eae-400b-9470-2935e037a541" targetNamespace="http://schemas.microsoft.com/office/2006/metadata/properties" ma:root="true" ma:fieldsID="6e18feffdfb8d06a8e229e743c59298c" ns2:_="" ns3:_="">
    <xsd:import namespace="a861db3d-3048-432f-b757-22458df766e9"/>
    <xsd:import namespace="9667159c-6eae-400b-9470-2935e037a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db3d-3048-432f-b757-22458df76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159c-6eae-400b-9470-2935e037a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67159c-6eae-400b-9470-2935e037a54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21BDE-BA89-4B40-A77D-21066A69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1db3d-3048-432f-b757-22458df766e9"/>
    <ds:schemaRef ds:uri="9667159c-6eae-400b-9470-2935e037a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9667159c-6eae-400b-9470-2935e037a541"/>
  </ds:schemaRefs>
</ds:datastoreItem>
</file>

<file path=customXml/itemProps3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334</Words>
  <Characters>1905</Characters>
  <Application>Microsoft Office Word</Application>
  <DocSecurity>4</DocSecurity>
  <Lines>15</Lines>
  <Paragraphs>4</Paragraphs>
  <ScaleCrop>false</ScaleCrop>
  <Company>IESO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Trisha Hickson</cp:lastModifiedBy>
  <cp:revision>2</cp:revision>
  <dcterms:created xsi:type="dcterms:W3CDTF">2025-04-17T20:00:00Z</dcterms:created>
  <dcterms:modified xsi:type="dcterms:W3CDTF">2025-04-17T20:00:00Z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0x0101002E8EDE051B90FE44824E1D5885632B5E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