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8240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652C0AEA" w:rsidR="00834980" w:rsidRDefault="007877FE" w:rsidP="00BD74AD">
      <w:pPr>
        <w:pStyle w:val="Heading2"/>
      </w:pPr>
      <w:r>
        <w:t>Long-Lead Time RFP</w:t>
      </w:r>
      <w:r w:rsidR="51DD60D5">
        <w:t xml:space="preserve"> </w:t>
      </w:r>
      <w:r w:rsidR="00D12111">
        <w:t xml:space="preserve">– </w:t>
      </w:r>
      <w:r w:rsidR="004767BF">
        <w:t>January 28</w:t>
      </w:r>
      <w:r w:rsidR="00BD74AD">
        <w:t xml:space="preserve">, </w:t>
      </w:r>
      <w:r w:rsidR="00D12111">
        <w:t>202</w:t>
      </w:r>
      <w:r w:rsidR="004767BF">
        <w:t>6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62D7A55D" w14:textId="08B2D6C7" w:rsidR="00BD74AD" w:rsidRDefault="00BD74AD">
      <w:pPr>
        <w:pStyle w:val="BodyText"/>
        <w:rPr>
          <w:rFonts w:eastAsia="Arial Unicode MS" w:cs="Arial Unicode MS"/>
          <w:color w:val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F44742" wp14:editId="2BAEB5BF">
                <wp:simplePos x="0" y="0"/>
                <wp:positionH relativeFrom="margin">
                  <wp:align>left</wp:align>
                </wp:positionH>
                <wp:positionV relativeFrom="paragraph">
                  <wp:posOffset>327660</wp:posOffset>
                </wp:positionV>
                <wp:extent cx="6219825" cy="1295400"/>
                <wp:effectExtent l="0" t="0" r="28575" b="19050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198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888B742" w14:textId="77777777" w:rsidR="00AB520B" w:rsidRDefault="00AB520B" w:rsidP="009A3984">
                            <w:pPr>
                              <w:spacing w:line="300" w:lineRule="exact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To promote transparency, feedback submitted will be posted on the Long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Lead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 xml:space="preserve">Time RFP engagement page unless otherwise requested by the sender. </w:t>
                            </w:r>
                          </w:p>
                          <w:p w14:paraId="6FEB3CDC" w14:textId="77777777" w:rsidR="00AB520B" w:rsidRDefault="00AB520B" w:rsidP="009A3984">
                            <w:pPr>
                              <w:spacing w:line="276" w:lineRule="auto"/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E8AB49E" w14:textId="62506DD7" w:rsidR="00AB520B" w:rsidRDefault="00AB520B" w:rsidP="009A3984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NO </w:t>
                            </w:r>
                            <w:r w:rsidR="000F06FD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There is confidential information, do not post</w:t>
                            </w:r>
                          </w:p>
                          <w:p w14:paraId="1A3FCC12" w14:textId="1432A3DC" w:rsidR="00AB520B" w:rsidRDefault="00AB520B" w:rsidP="009A3984">
                            <w:pPr>
                              <w:spacing w:line="276" w:lineRule="auto"/>
                              <w:ind w:firstLine="720"/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D87854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YES </w:t>
                            </w:r>
                            <w:r w:rsidR="000F06FD"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Helvetica Neue" w:eastAsia="Segoe UI Symbol" w:hAnsi="Helvetica Neue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Comfortable to publish to the IESO web page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44742" id="Text Box 2" o:spid="_x0000_s1027" style="position:absolute;margin-left:0;margin-top:25.8pt;width:489.75pt;height:10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">
                <v:textbox>
                  <w:txbxContent>
                    <w:p w14:paraId="3888B742" w14:textId="77777777" w:rsidR="00AB520B" w:rsidRDefault="00AB520B" w:rsidP="009A3984">
                      <w:pPr>
                        <w:spacing w:line="300" w:lineRule="exact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To promote transparency, feedback submitted will be posted on the Long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Lead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 xml:space="preserve">Time RFP engagement page unless otherwise requested by the sender. </w:t>
                      </w:r>
                    </w:p>
                    <w:p w14:paraId="6FEB3CDC" w14:textId="77777777" w:rsidR="00AB520B" w:rsidRDefault="00AB520B" w:rsidP="009A3984">
                      <w:pPr>
                        <w:spacing w:line="276" w:lineRule="auto"/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ahoma" w:hAnsi="Tahoma" w:cs="Tahoma"/>
                          <w:sz w:val="22"/>
                          <w:szCs w:val="22"/>
                        </w:rPr>
                        <w:t> </w:t>
                      </w:r>
                    </w:p>
                    <w:p w14:paraId="2E8AB49E" w14:textId="62506DD7" w:rsidR="00AB520B" w:rsidRDefault="00AB520B" w:rsidP="009A3984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NO </w:t>
                      </w:r>
                      <w:r w:rsidR="000F06FD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>There is confidential information, do not post</w:t>
                      </w:r>
                    </w:p>
                    <w:p w14:paraId="1A3FCC12" w14:textId="1432A3DC" w:rsidR="00AB520B" w:rsidRDefault="00AB520B" w:rsidP="009A3984">
                      <w:pPr>
                        <w:spacing w:line="276" w:lineRule="auto"/>
                        <w:ind w:firstLine="720"/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egoe UI Symbol" w:eastAsia="Segoe UI Symbol" w:hAnsi="Segoe UI Symbol"/>
                          <w:b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D87854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YES </w:t>
                      </w:r>
                      <w:r w:rsidR="000F06FD"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Helvetica Neue" w:eastAsia="Segoe UI Symbol" w:hAnsi="Helvetica Neue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Comfortable to publish to the IESO web page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EF4FD14" w14:textId="77777777" w:rsidR="001301C8" w:rsidRDefault="001301C8">
      <w:pPr>
        <w:pStyle w:val="BodyText"/>
      </w:pPr>
    </w:p>
    <w:p w14:paraId="5FF95A9D" w14:textId="06710AC6" w:rsidR="00834980" w:rsidRDefault="00D12111">
      <w:pPr>
        <w:pStyle w:val="BodyText"/>
      </w:pPr>
      <w:r>
        <w:t xml:space="preserve">Following the </w:t>
      </w:r>
      <w:r w:rsidR="004767BF">
        <w:t>January 28</w:t>
      </w:r>
      <w:r w:rsidR="006B5BFA" w:rsidRPr="006B5BFA">
        <w:rPr>
          <w:vertAlign w:val="superscript"/>
        </w:rPr>
        <w:t>th</w:t>
      </w:r>
      <w:r w:rsidR="006B5BFA">
        <w:t xml:space="preserve"> </w:t>
      </w:r>
      <w:r w:rsidR="007877FE" w:rsidRPr="29154EF1">
        <w:rPr>
          <w:color w:val="auto"/>
        </w:rPr>
        <w:t>Long</w:t>
      </w:r>
      <w:r w:rsidR="6F55DE4F" w:rsidRPr="29154EF1">
        <w:rPr>
          <w:color w:val="auto"/>
        </w:rPr>
        <w:t xml:space="preserve"> </w:t>
      </w:r>
      <w:r w:rsidR="007877FE" w:rsidRPr="29154EF1">
        <w:rPr>
          <w:color w:val="auto"/>
        </w:rPr>
        <w:t>Lead</w:t>
      </w:r>
      <w:r w:rsidR="07060587" w:rsidRPr="29154EF1">
        <w:rPr>
          <w:color w:val="auto"/>
        </w:rPr>
        <w:t>-</w:t>
      </w:r>
      <w:r w:rsidR="007877FE" w:rsidRPr="29154EF1">
        <w:rPr>
          <w:color w:val="auto"/>
        </w:rPr>
        <w:t xml:space="preserve">Time RFP </w:t>
      </w:r>
      <w:r w:rsidRPr="29154EF1">
        <w:rPr>
          <w:color w:val="auto"/>
        </w:rPr>
        <w:t xml:space="preserve">engagement </w:t>
      </w:r>
      <w:r>
        <w:t xml:space="preserve">webinar, the Independent Electricity System Operator (IESO) is seeking feedback from stakeholders on the items discussed. The presentation and recording can be accessed from the </w:t>
      </w:r>
      <w:hyperlink r:id="rId10">
        <w:r w:rsidR="007877FE" w:rsidRPr="00632A24">
          <w:rPr>
            <w:rStyle w:val="Hyperlink"/>
            <w:color w:val="0070C0"/>
          </w:rPr>
          <w:t>LLT</w:t>
        </w:r>
        <w:r w:rsidR="00A03A04" w:rsidRPr="00632A24">
          <w:rPr>
            <w:rStyle w:val="Hyperlink"/>
            <w:color w:val="0070C0"/>
          </w:rPr>
          <w:t xml:space="preserve"> </w:t>
        </w:r>
        <w:r w:rsidR="00632A24" w:rsidRPr="00632A24">
          <w:rPr>
            <w:rStyle w:val="Hyperlink"/>
            <w:color w:val="0070C0"/>
          </w:rPr>
          <w:t xml:space="preserve">RFP </w:t>
        </w:r>
        <w:r w:rsidR="00A03A04" w:rsidRPr="00632A24">
          <w:rPr>
            <w:rStyle w:val="Hyperlink"/>
            <w:color w:val="0070C0"/>
          </w:rPr>
          <w:t xml:space="preserve">engagement </w:t>
        </w:r>
        <w:r w:rsidR="007877FE" w:rsidRPr="00632A24">
          <w:rPr>
            <w:rStyle w:val="Hyperlink"/>
            <w:color w:val="0070C0"/>
          </w:rPr>
          <w:t>webpage</w:t>
        </w:r>
      </w:hyperlink>
      <w:r w:rsidR="00A03A04">
        <w:t xml:space="preserve">. </w:t>
      </w:r>
    </w:p>
    <w:p w14:paraId="5D90A437" w14:textId="1738B511" w:rsidR="007D713D" w:rsidRPr="007D713D" w:rsidRDefault="34FB4CA1" w:rsidP="007D713D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33C109CD">
        <w:rPr>
          <w:rFonts w:eastAsia="Arial Unicode MS" w:cs="Arial Unicode MS"/>
          <w:b/>
          <w:bCs/>
          <w:color w:val="auto"/>
        </w:rPr>
        <w:t>Note:</w:t>
      </w:r>
      <w:r w:rsidRPr="33C109CD">
        <w:rPr>
          <w:rFonts w:eastAsia="Arial Unicode MS" w:cs="Arial Unicode MS"/>
          <w:color w:val="auto"/>
        </w:rPr>
        <w:t xml:space="preserve"> The IESO will accept additional materials where it may be required to support your rationale provided below. When sending additional </w:t>
      </w:r>
      <w:r w:rsidR="7A38BDEB" w:rsidRPr="33C109CD">
        <w:rPr>
          <w:rFonts w:eastAsia="Arial Unicode MS" w:cs="Arial Unicode MS"/>
          <w:color w:val="auto"/>
        </w:rPr>
        <w:t>materials,</w:t>
      </w:r>
      <w:r w:rsidRPr="33C109CD">
        <w:rPr>
          <w:rFonts w:eastAsia="Arial Unicode MS" w:cs="Arial Unicode MS"/>
          <w:color w:val="auto"/>
        </w:rPr>
        <w:t xml:space="preserve"> please indicate if they are confidential. </w:t>
      </w:r>
    </w:p>
    <w:p w14:paraId="7A9ED657" w14:textId="37DDCA15" w:rsidR="00834980" w:rsidRDefault="40CB7343">
      <w:pPr>
        <w:pStyle w:val="BodyText"/>
      </w:pPr>
      <w:r w:rsidRPr="33C109CD">
        <w:rPr>
          <w:b/>
          <w:bCs/>
        </w:rPr>
        <w:t>Please submit feedback to</w:t>
      </w:r>
      <w:r>
        <w:t xml:space="preserve"> </w:t>
      </w:r>
      <w:hyperlink r:id="rId11">
        <w:r w:rsidR="4C5B0EC3" w:rsidRPr="33C109CD">
          <w:rPr>
            <w:rStyle w:val="Hyperlink0"/>
          </w:rPr>
          <w:t>engagement@ieso.ca</w:t>
        </w:r>
      </w:hyperlink>
      <w:r>
        <w:t xml:space="preserve"> </w:t>
      </w:r>
      <w:r w:rsidRPr="33C109CD">
        <w:rPr>
          <w:b/>
          <w:bCs/>
        </w:rPr>
        <w:t xml:space="preserve">by </w:t>
      </w:r>
      <w:r w:rsidR="004767BF">
        <w:rPr>
          <w:b/>
          <w:bCs/>
          <w:color w:val="000000" w:themeColor="text1"/>
        </w:rPr>
        <w:t>February 11</w:t>
      </w:r>
      <w:r w:rsidR="16AA9E88" w:rsidRPr="33C109CD">
        <w:rPr>
          <w:b/>
          <w:bCs/>
          <w:color w:val="000000" w:themeColor="text1"/>
        </w:rPr>
        <w:t xml:space="preserve">, </w:t>
      </w:r>
      <w:r w:rsidR="7FED13B3" w:rsidRPr="33C109CD">
        <w:rPr>
          <w:b/>
          <w:bCs/>
          <w:color w:val="000000" w:themeColor="text1"/>
        </w:rPr>
        <w:t>2026</w:t>
      </w:r>
      <w:r w:rsidR="7BC0DA9B" w:rsidRPr="33C109CD">
        <w:rPr>
          <w:b/>
          <w:bCs/>
          <w:color w:val="000000" w:themeColor="text1"/>
        </w:rPr>
        <w:t>.</w:t>
      </w:r>
      <w:r w:rsidRPr="33C109CD">
        <w:rPr>
          <w:color w:val="000000" w:themeColor="text1"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3A89F456" w14:textId="77777777" w:rsidR="007D713D" w:rsidRDefault="007D713D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473CF676" w14:textId="53016350" w:rsidR="000F06FD" w:rsidRDefault="000F06FD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>
        <w:rPr>
          <w:rFonts w:eastAsia="Arial Unicode MS" w:cs="Arial Unicode MS"/>
          <w:b/>
          <w:bCs/>
          <w:color w:val="003366"/>
          <w:sz w:val="28"/>
          <w:szCs w:val="28"/>
        </w:rPr>
        <w:t xml:space="preserve">Policy Considerations </w:t>
      </w:r>
    </w:p>
    <w:p w14:paraId="3171D0BD" w14:textId="5055AF83" w:rsidR="000F06FD" w:rsidRDefault="000F06FD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F06FD">
        <w:rPr>
          <w:rFonts w:eastAsia="Arial Unicode MS" w:cs="Arial Unicode MS"/>
          <w:color w:val="003366"/>
          <w:sz w:val="28"/>
          <w:szCs w:val="28"/>
        </w:rPr>
        <w:t>Buy Local Policy Provisions</w:t>
      </w:r>
    </w:p>
    <w:p w14:paraId="5555F181" w14:textId="5FE19A58" w:rsidR="22F757DE" w:rsidRDefault="22F757DE" w:rsidP="33F7D8B9">
      <w:pPr>
        <w:pStyle w:val="BodyText"/>
        <w:spacing w:before="120" w:after="240"/>
        <w:rPr>
          <w:rFonts w:ascii="Aptos" w:eastAsia="Aptos" w:hAnsi="Aptos" w:cs="Aptos"/>
          <w:sz w:val="24"/>
          <w:szCs w:val="24"/>
          <w:lang w:val="en-CA"/>
        </w:rPr>
      </w:pPr>
      <w:r w:rsidRPr="33F7D8B9">
        <w:rPr>
          <w:rFonts w:ascii="Aptos" w:eastAsia="Aptos" w:hAnsi="Aptos" w:cs="Aptos"/>
          <w:sz w:val="24"/>
          <w:szCs w:val="24"/>
          <w:lang w:val="en-CA"/>
        </w:rPr>
        <w:t xml:space="preserve"> The IESO is seeking stakeholder feedback to understand:</w:t>
      </w:r>
    </w:p>
    <w:p w14:paraId="1F17BFF3" w14:textId="3C9314A0" w:rsidR="22F757DE" w:rsidRDefault="22F757DE" w:rsidP="33F7D8B9">
      <w:pPr>
        <w:pStyle w:val="ListParagraph"/>
        <w:numPr>
          <w:ilvl w:val="0"/>
          <w:numId w:val="14"/>
        </w:numPr>
        <w:rPr>
          <w:rFonts w:ascii="Aptos" w:eastAsia="Aptos" w:hAnsi="Aptos" w:cs="Aptos"/>
        </w:rPr>
      </w:pPr>
      <w:r w:rsidRPr="33F7D8B9">
        <w:rPr>
          <w:rFonts w:ascii="Aptos" w:eastAsia="Aptos" w:hAnsi="Aptos" w:cs="Aptos"/>
        </w:rPr>
        <w:t>Whether proponents were already planning to source at least 50% of goods, services and workforce related to the project locally (i.e., from Ontario/Canada)</w:t>
      </w:r>
    </w:p>
    <w:p w14:paraId="6738BD2B" w14:textId="046090D2" w:rsidR="22F757DE" w:rsidRDefault="22F757DE" w:rsidP="33F7D8B9">
      <w:pPr>
        <w:pStyle w:val="ListParagraph"/>
        <w:numPr>
          <w:ilvl w:val="1"/>
          <w:numId w:val="14"/>
        </w:numPr>
        <w:rPr>
          <w:rFonts w:ascii="Aptos" w:eastAsia="Aptos" w:hAnsi="Aptos" w:cs="Aptos"/>
        </w:rPr>
      </w:pPr>
      <w:r w:rsidRPr="33F7D8B9">
        <w:rPr>
          <w:rFonts w:ascii="Aptos" w:eastAsia="Aptos" w:hAnsi="Aptos" w:cs="Aptos"/>
        </w:rPr>
        <w:t>For those Proponents that were not planning this, is it possible and what would the cost implications be?</w:t>
      </w:r>
    </w:p>
    <w:p w14:paraId="5B7E11FB" w14:textId="672F1274" w:rsidR="22F757DE" w:rsidRDefault="22F757DE" w:rsidP="33F7D8B9">
      <w:pPr>
        <w:pStyle w:val="ListParagraph"/>
        <w:numPr>
          <w:ilvl w:val="0"/>
          <w:numId w:val="14"/>
        </w:numPr>
        <w:rPr>
          <w:rFonts w:ascii="Aptos" w:eastAsia="Aptos" w:hAnsi="Aptos" w:cs="Aptos"/>
        </w:rPr>
      </w:pPr>
      <w:r w:rsidRPr="33F7D8B9">
        <w:rPr>
          <w:rFonts w:ascii="Aptos" w:eastAsia="Aptos" w:hAnsi="Aptos" w:cs="Aptos"/>
        </w:rPr>
        <w:t>An indication of Projects that would be unable to source at least 50% of goods, services and workforce locally regardless of cost implications</w:t>
      </w:r>
    </w:p>
    <w:p w14:paraId="04510B78" w14:textId="3A1DA1EA" w:rsidR="6F133B4E" w:rsidRDefault="6F133B4E" w:rsidP="168B369F">
      <w:pPr>
        <w:pStyle w:val="BodyText"/>
        <w:spacing w:before="120" w:after="240"/>
      </w:pPr>
      <w:r w:rsidRPr="168B369F">
        <w:rPr>
          <w:rFonts w:eastAsia="Arial Unicode MS" w:cs="Arial Unicode MS"/>
          <w:lang w:val="en-CA"/>
        </w:rPr>
        <w:t>Are there any other considerations the IESO should be aware of?</w:t>
      </w:r>
    </w:p>
    <w:p w14:paraId="2C85F48E" w14:textId="140CD085" w:rsidR="6DBFE78A" w:rsidRDefault="6DBFE78A" w:rsidP="33F7D8B9">
      <w:pPr>
        <w:pStyle w:val="BodyText"/>
        <w:spacing w:before="120" w:after="240"/>
        <w:rPr>
          <w:rFonts w:eastAsia="Arial Unicode MS" w:cs="Arial Unicode MS"/>
          <w:lang w:val="en-CA"/>
        </w:rPr>
      </w:pPr>
      <w:r w:rsidRPr="33F7D8B9">
        <w:rPr>
          <w:rFonts w:eastAsia="Arial Unicode MS" w:cs="Arial Unicode MS"/>
          <w:lang w:val="en-CA"/>
        </w:rPr>
        <w:t xml:space="preserve">Is there any additional feedback you would like to provide in response to the proposed local supply plan </w:t>
      </w:r>
      <w:r w:rsidR="04411480" w:rsidRPr="33F7D8B9">
        <w:rPr>
          <w:rFonts w:eastAsia="Arial Unicode MS" w:cs="Arial Unicode MS"/>
          <w:lang w:val="en-CA"/>
        </w:rPr>
        <w:t>requirement currently under consideration</w:t>
      </w:r>
      <w:r w:rsidRPr="33F7D8B9">
        <w:rPr>
          <w:rFonts w:eastAsia="Arial Unicode MS" w:cs="Arial Unicode MS"/>
          <w:lang w:val="en-CA"/>
        </w:rPr>
        <w:t>?</w:t>
      </w:r>
    </w:p>
    <w:p w14:paraId="49506451" w14:textId="4FFAB332" w:rsidR="000F06FD" w:rsidRPr="000F06FD" w:rsidRDefault="000F06FD" w:rsidP="168B369F">
      <w:pPr>
        <w:pStyle w:val="BodyText"/>
        <w:spacing w:before="120" w:after="240"/>
        <w:rPr>
          <w:rFonts w:eastAsia="Arial Unicode MS" w:cs="Arial Unicode MS"/>
          <w:lang w:val="en-CA"/>
        </w:rPr>
      </w:pPr>
    </w:p>
    <w:p w14:paraId="096451E2" w14:textId="7F714BC0" w:rsidR="67BDB712" w:rsidRDefault="6CC35DA2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sz w:val="28"/>
          <w:szCs w:val="28"/>
        </w:rPr>
      </w:pPr>
      <w:r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LLT </w:t>
      </w:r>
      <w:r w:rsidR="42078B6B"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Design Considerations </w:t>
      </w:r>
      <w:r w:rsidR="3CA1B651" w:rsidRPr="5150D728">
        <w:rPr>
          <w:rFonts w:eastAsia="Arial Unicode MS" w:cs="Arial Unicode MS"/>
          <w:b/>
          <w:bCs/>
          <w:color w:val="003366"/>
          <w:sz w:val="28"/>
          <w:szCs w:val="28"/>
        </w:rPr>
        <w:t xml:space="preserve"> </w:t>
      </w:r>
    </w:p>
    <w:p w14:paraId="0C850DAA" w14:textId="6D853C03" w:rsidR="00015AF1" w:rsidRPr="00015AF1" w:rsidRDefault="00015AF1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015AF1">
        <w:rPr>
          <w:rFonts w:eastAsia="Arial Unicode MS" w:cs="Arial Unicode MS"/>
          <w:color w:val="003366"/>
          <w:sz w:val="28"/>
          <w:szCs w:val="28"/>
        </w:rPr>
        <w:t xml:space="preserve">Resource Eligibility – Capacity </w:t>
      </w:r>
    </w:p>
    <w:p w14:paraId="6607A6B7" w14:textId="7F48C352" w:rsidR="00C16919" w:rsidRDefault="6C005EAA" w:rsidP="0071297E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F7D8B9">
        <w:rPr>
          <w:rFonts w:eastAsia="Arial Unicode MS" w:cs="Arial Unicode MS"/>
          <w:color w:val="000000" w:themeColor="text1"/>
        </w:rPr>
        <w:t>Do you have any feedback on the proposed updates to resource eligibility requirements for LLT Capacity Projects?</w:t>
      </w:r>
    </w:p>
    <w:p w14:paraId="2FD371E6" w14:textId="674A0BCA" w:rsidR="00555953" w:rsidRDefault="00555953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555953">
        <w:rPr>
          <w:rFonts w:eastAsia="Arial Unicode MS" w:cs="Arial Unicode MS"/>
          <w:color w:val="003366"/>
          <w:sz w:val="28"/>
          <w:szCs w:val="28"/>
        </w:rPr>
        <w:t>Access Rights for LLT Energy Projects</w:t>
      </w:r>
    </w:p>
    <w:p w14:paraId="6CC8FF2E" w14:textId="53F6CD0E" w:rsidR="009A6919" w:rsidRPr="009A6919" w:rsidRDefault="009A6919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009A6919">
        <w:rPr>
          <w:rFonts w:eastAsia="Arial Unicode MS" w:cs="Arial Unicode MS"/>
          <w:color w:val="auto"/>
        </w:rPr>
        <w:t xml:space="preserve">The IESO is seeking feedback on the following: </w:t>
      </w:r>
    </w:p>
    <w:p w14:paraId="4C3EE4A1" w14:textId="77777777" w:rsidR="009A6919" w:rsidRPr="000D0D49" w:rsidRDefault="009A6919" w:rsidP="009A6919">
      <w:pPr>
        <w:pStyle w:val="BodyText"/>
        <w:spacing w:before="120" w:after="240"/>
        <w:rPr>
          <w:rFonts w:eastAsia="Arial Unicode MS" w:cs="Arial Unicode MS"/>
          <w:color w:val="auto"/>
          <w:u w:val="single"/>
        </w:rPr>
      </w:pPr>
      <w:r w:rsidRPr="000D0D49">
        <w:rPr>
          <w:rFonts w:eastAsia="Arial Unicode MS" w:cs="Arial Unicode MS"/>
          <w:color w:val="auto"/>
          <w:u w:val="single"/>
        </w:rPr>
        <w:t>Requirements for Projects Locating on Federal Crown Lands​</w:t>
      </w:r>
    </w:p>
    <w:p w14:paraId="23D5C5F0" w14:textId="5A812D2E" w:rsidR="009A6919" w:rsidRPr="009A6919" w:rsidRDefault="009A6919" w:rsidP="009A6919">
      <w:pPr>
        <w:pStyle w:val="BodyText"/>
        <w:numPr>
          <w:ilvl w:val="0"/>
          <w:numId w:val="11"/>
        </w:numPr>
        <w:spacing w:before="120" w:after="240"/>
        <w:rPr>
          <w:rFonts w:eastAsia="Arial Unicode MS" w:cs="Arial Unicode MS"/>
          <w:color w:val="auto"/>
        </w:rPr>
      </w:pPr>
      <w:r w:rsidRPr="009A6919">
        <w:rPr>
          <w:rFonts w:eastAsia="Arial Unicode MS" w:cs="Arial Unicode MS"/>
          <w:color w:val="auto"/>
        </w:rPr>
        <w:t>Process for obtaining access rights to federal Crown lands​</w:t>
      </w:r>
      <w:r w:rsidR="004639F9">
        <w:rPr>
          <w:rFonts w:eastAsia="Arial Unicode MS" w:cs="Arial Unicode MS"/>
          <w:color w:val="auto"/>
        </w:rPr>
        <w:t>.</w:t>
      </w:r>
    </w:p>
    <w:p w14:paraId="5B174CAC" w14:textId="09BD41A7" w:rsidR="009A6919" w:rsidRPr="009A6919" w:rsidRDefault="009A6919" w:rsidP="009A6919">
      <w:pPr>
        <w:pStyle w:val="BodyText"/>
        <w:numPr>
          <w:ilvl w:val="0"/>
          <w:numId w:val="11"/>
        </w:numPr>
        <w:spacing w:before="120" w:after="240"/>
        <w:rPr>
          <w:rFonts w:eastAsia="Arial Unicode MS" w:cs="Arial Unicode MS"/>
          <w:color w:val="auto"/>
        </w:rPr>
      </w:pPr>
      <w:r w:rsidRPr="009A6919">
        <w:rPr>
          <w:rFonts w:eastAsia="Arial Unicode MS" w:cs="Arial Unicode MS"/>
          <w:color w:val="auto"/>
        </w:rPr>
        <w:t>Timelines related to obtaining a federal priority permit and what stage Proponents would</w:t>
      </w:r>
      <w:r w:rsidR="005A7B7F">
        <w:rPr>
          <w:rFonts w:eastAsia="Arial Unicode MS" w:cs="Arial Unicode MS"/>
          <w:color w:val="auto"/>
        </w:rPr>
        <w:t xml:space="preserve"> </w:t>
      </w:r>
      <w:r w:rsidRPr="009A6919">
        <w:rPr>
          <w:rFonts w:eastAsia="Arial Unicode MS" w:cs="Arial Unicode MS"/>
          <w:color w:val="auto"/>
        </w:rPr>
        <w:t>expect to have reached by the Proposal Submission Deadline (e.g., priority permit granted) ​</w:t>
      </w:r>
    </w:p>
    <w:p w14:paraId="430CDFAB" w14:textId="75696B02" w:rsidR="009A6919" w:rsidRPr="000D0D49" w:rsidRDefault="009A6919" w:rsidP="009A6919">
      <w:pPr>
        <w:pStyle w:val="BodyText"/>
        <w:spacing w:before="120" w:after="240"/>
      </w:pPr>
      <w:r w:rsidRPr="000D0D49">
        <w:rPr>
          <w:rFonts w:eastAsia="Arial Unicode MS" w:cs="Arial Unicode MS"/>
          <w:color w:val="auto"/>
          <w:u w:val="single"/>
        </w:rPr>
        <w:t>Modifications Required to the Project Site Definition​</w:t>
      </w:r>
    </w:p>
    <w:p w14:paraId="2064CC88" w14:textId="4E58075D" w:rsidR="009A6919" w:rsidRPr="009A6919" w:rsidRDefault="009A6919" w:rsidP="33F7D8B9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009A6919">
        <w:rPr>
          <w:rFonts w:eastAsia="Arial Unicode MS" w:cs="Arial Unicode MS"/>
          <w:color w:val="auto"/>
        </w:rPr>
        <w:t>The LLT(e) RFP currently defines Project Site as all Properties on which the proposed LLT</w:t>
      </w:r>
      <w:r w:rsidR="005A7B7F">
        <w:rPr>
          <w:rFonts w:eastAsia="Arial Unicode MS" w:cs="Arial Unicode MS"/>
          <w:color w:val="auto"/>
        </w:rPr>
        <w:t xml:space="preserve"> </w:t>
      </w:r>
      <w:r w:rsidRPr="009A6919">
        <w:rPr>
          <w:rFonts w:eastAsia="Arial Unicode MS" w:cs="Arial Unicode MS"/>
          <w:color w:val="auto"/>
        </w:rPr>
        <w:t>Energy Project is to be located, excluding any Connection Line</w:t>
      </w:r>
      <w:r w:rsidR="004639F9">
        <w:rPr>
          <w:rFonts w:eastAsia="Arial Unicode MS" w:cs="Arial Unicode MS"/>
          <w:color w:val="auto"/>
        </w:rPr>
        <w:t xml:space="preserve">. </w:t>
      </w:r>
      <w:r w:rsidRPr="009A6919">
        <w:rPr>
          <w:rFonts w:eastAsia="Arial Unicode MS" w:cs="Arial Unicode MS"/>
          <w:color w:val="auto"/>
        </w:rPr>
        <w:t> ​</w:t>
      </w:r>
    </w:p>
    <w:p w14:paraId="0EF6F33C" w14:textId="49503978" w:rsidR="00555953" w:rsidRDefault="009A6919" w:rsidP="33F7D8B9">
      <w:pPr>
        <w:pStyle w:val="BodyText"/>
        <w:numPr>
          <w:ilvl w:val="1"/>
          <w:numId w:val="12"/>
        </w:numPr>
        <w:spacing w:before="120" w:after="240"/>
        <w:rPr>
          <w:rFonts w:eastAsia="Arial Unicode MS" w:cs="Arial Unicode MS"/>
          <w:color w:val="auto"/>
        </w:rPr>
      </w:pPr>
      <w:r w:rsidRPr="009A6919">
        <w:rPr>
          <w:rFonts w:eastAsia="Arial Unicode MS" w:cs="Arial Unicode MS"/>
          <w:color w:val="auto"/>
        </w:rPr>
        <w:t>The IESO would like to understand whether this should be updated to consider other impacts of hydro</w:t>
      </w:r>
      <w:r w:rsidR="001609B8">
        <w:rPr>
          <w:rFonts w:eastAsia="Arial Unicode MS" w:cs="Arial Unicode MS"/>
          <w:color w:val="auto"/>
        </w:rPr>
        <w:t xml:space="preserve"> </w:t>
      </w:r>
      <w:r w:rsidRPr="009A6919">
        <w:rPr>
          <w:rFonts w:eastAsia="Arial Unicode MS" w:cs="Arial Unicode MS"/>
          <w:color w:val="auto"/>
        </w:rPr>
        <w:t>projects (e.g., flood zones) that will be known at the time of Proposal Submission Deadline</w:t>
      </w:r>
    </w:p>
    <w:p w14:paraId="103A8D9E" w14:textId="554D3A46" w:rsidR="00C16919" w:rsidRDefault="3585D9EC" w:rsidP="0071297E">
      <w:pPr>
        <w:pStyle w:val="BodyText"/>
        <w:spacing w:before="120" w:after="240"/>
        <w:rPr>
          <w:rFonts w:eastAsia="Arial Unicode MS" w:cs="Arial Unicode MS"/>
          <w:color w:val="000000" w:themeColor="text1"/>
        </w:rPr>
      </w:pPr>
      <w:r w:rsidRPr="33F7D8B9">
        <w:rPr>
          <w:rFonts w:eastAsia="Arial Unicode MS" w:cs="Arial Unicode MS"/>
          <w:color w:val="000000" w:themeColor="text1"/>
        </w:rPr>
        <w:lastRenderedPageBreak/>
        <w:t>Is there any other feedback regarding access rights that the IESO should be aware of?</w:t>
      </w:r>
    </w:p>
    <w:p w14:paraId="606DE374" w14:textId="65EBECBB" w:rsidR="001609B8" w:rsidRDefault="001609B8" w:rsidP="001609B8">
      <w:pPr>
        <w:pStyle w:val="BodyText"/>
        <w:spacing w:before="120" w:after="240"/>
        <w:rPr>
          <w:rFonts w:eastAsia="Arial Unicode MS" w:cs="Arial Unicode MS"/>
          <w:color w:val="auto"/>
        </w:rPr>
      </w:pPr>
    </w:p>
    <w:p w14:paraId="50A10227" w14:textId="6F3C2018" w:rsidR="001316C4" w:rsidRDefault="0FAAEAE9" w:rsidP="33F7D8B9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F7D8B9">
        <w:rPr>
          <w:rFonts w:eastAsia="Arial Unicode MS" w:cs="Arial Unicode MS"/>
          <w:color w:val="003366"/>
          <w:sz w:val="28"/>
          <w:szCs w:val="28"/>
        </w:rPr>
        <w:t>Periods of Reduced Water Availability</w:t>
      </w:r>
      <w:r w:rsidR="6532D636" w:rsidRPr="33F7D8B9">
        <w:rPr>
          <w:rFonts w:eastAsia="Arial Unicode MS" w:cs="Arial Unicode MS"/>
          <w:color w:val="003366"/>
          <w:sz w:val="28"/>
          <w:szCs w:val="28"/>
        </w:rPr>
        <w:t xml:space="preserve"> (Energy)</w:t>
      </w:r>
    </w:p>
    <w:p w14:paraId="3DD1C06E" w14:textId="6B544F08" w:rsidR="001316C4" w:rsidRDefault="001609B8" w:rsidP="001609B8">
      <w:pPr>
        <w:pStyle w:val="BodyText"/>
        <w:spacing w:before="120" w:after="240"/>
        <w:rPr>
          <w:rFonts w:eastAsia="Arial Unicode MS" w:cs="Arial Unicode MS"/>
          <w:color w:val="auto"/>
        </w:rPr>
      </w:pPr>
      <w:r>
        <w:rPr>
          <w:rFonts w:eastAsia="Arial Unicode MS" w:cs="Arial Unicode MS"/>
          <w:color w:val="auto"/>
        </w:rPr>
        <w:t xml:space="preserve">Do you have any feedback on the proposed approach </w:t>
      </w:r>
      <w:r w:rsidR="001316C4">
        <w:rPr>
          <w:rFonts w:eastAsia="Arial Unicode MS" w:cs="Arial Unicode MS"/>
          <w:color w:val="auto"/>
        </w:rPr>
        <w:t xml:space="preserve">for </w:t>
      </w:r>
      <w:r w:rsidR="00407C8C">
        <w:rPr>
          <w:rFonts w:eastAsia="Arial Unicode MS" w:cs="Arial Unicode MS"/>
          <w:color w:val="auto"/>
        </w:rPr>
        <w:t xml:space="preserve">mitigating financial impacts </w:t>
      </w:r>
      <w:r w:rsidR="0058457A">
        <w:rPr>
          <w:rFonts w:eastAsia="Arial Unicode MS" w:cs="Arial Unicode MS"/>
          <w:color w:val="auto"/>
        </w:rPr>
        <w:t xml:space="preserve">in instances of high-market pricing </w:t>
      </w:r>
      <w:r w:rsidR="042D9358" w:rsidRPr="33F7D8B9">
        <w:rPr>
          <w:rFonts w:eastAsia="Arial Unicode MS" w:cs="Arial Unicode MS"/>
          <w:color w:val="auto"/>
        </w:rPr>
        <w:t>where Facility production is</w:t>
      </w:r>
      <w:r w:rsidR="0058457A" w:rsidRPr="33F7D8B9">
        <w:rPr>
          <w:rFonts w:eastAsia="Arial Unicode MS" w:cs="Arial Unicode MS"/>
          <w:color w:val="auto"/>
        </w:rPr>
        <w:t xml:space="preserve"> </w:t>
      </w:r>
      <w:r w:rsidR="00BF55E7">
        <w:rPr>
          <w:rFonts w:eastAsia="Arial Unicode MS" w:cs="Arial Unicode MS"/>
          <w:color w:val="auto"/>
        </w:rPr>
        <w:t xml:space="preserve">impacted by conditions outside of the </w:t>
      </w:r>
      <w:r w:rsidR="3D058A85" w:rsidRPr="33F7D8B9">
        <w:rPr>
          <w:rFonts w:eastAsia="Arial Unicode MS" w:cs="Arial Unicode MS"/>
          <w:color w:val="auto"/>
        </w:rPr>
        <w:t>S</w:t>
      </w:r>
      <w:r w:rsidR="00BF55E7" w:rsidRPr="33F7D8B9">
        <w:rPr>
          <w:rFonts w:eastAsia="Arial Unicode MS" w:cs="Arial Unicode MS"/>
          <w:color w:val="auto"/>
        </w:rPr>
        <w:t>uppliers’</w:t>
      </w:r>
      <w:r w:rsidR="00BF55E7">
        <w:rPr>
          <w:rFonts w:eastAsia="Arial Unicode MS" w:cs="Arial Unicode MS"/>
          <w:color w:val="auto"/>
        </w:rPr>
        <w:t xml:space="preserve"> control? </w:t>
      </w:r>
    </w:p>
    <w:p w14:paraId="478BE9E2" w14:textId="77777777" w:rsidR="001609B8" w:rsidRDefault="001609B8" w:rsidP="0071297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336011A0" w14:textId="29860A6E" w:rsidR="00DF4FF2" w:rsidRDefault="00DF4FF2" w:rsidP="007A4BC2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00DF4FF2">
        <w:rPr>
          <w:rFonts w:eastAsia="Arial Unicode MS" w:cs="Arial Unicode MS"/>
          <w:color w:val="003366"/>
          <w:sz w:val="28"/>
          <w:szCs w:val="28"/>
        </w:rPr>
        <w:t>Regulation Service Readiness Requirements</w:t>
      </w:r>
    </w:p>
    <w:p w14:paraId="09A86D30" w14:textId="0AE7B439" w:rsidR="00C16919" w:rsidRDefault="0A6E0013" w:rsidP="0071297E">
      <w:pPr>
        <w:pStyle w:val="BodyText"/>
        <w:spacing w:before="120" w:after="240"/>
        <w:rPr>
          <w:rFonts w:eastAsia="Arial Unicode MS" w:cs="Arial Unicode MS"/>
          <w:color w:val="auto"/>
        </w:rPr>
      </w:pPr>
      <w:r w:rsidRPr="33F7D8B9">
        <w:rPr>
          <w:rFonts w:eastAsia="Arial Unicode MS" w:cs="Arial Unicode MS"/>
          <w:color w:val="auto"/>
        </w:rPr>
        <w:t>Do</w:t>
      </w:r>
      <w:r w:rsidR="000D0D49">
        <w:rPr>
          <w:rFonts w:eastAsia="Arial Unicode MS" w:cs="Arial Unicode MS"/>
          <w:color w:val="auto"/>
        </w:rPr>
        <w:t xml:space="preserve"> you</w:t>
      </w:r>
      <w:r w:rsidRPr="33F7D8B9">
        <w:rPr>
          <w:rFonts w:eastAsia="Arial Unicode MS" w:cs="Arial Unicode MS"/>
          <w:color w:val="auto"/>
        </w:rPr>
        <w:t xml:space="preserve"> have any feedback on the proposed regulation service readiness requirements?</w:t>
      </w:r>
    </w:p>
    <w:p w14:paraId="6C753687" w14:textId="77777777" w:rsidR="00AB520B" w:rsidRPr="00AB520B" w:rsidRDefault="00AB520B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</w:p>
    <w:p w14:paraId="678E7CF9" w14:textId="6A19129E" w:rsidR="00A4043E" w:rsidRDefault="524BD6F5" w:rsidP="00A4043E">
      <w:pPr>
        <w:pStyle w:val="BodyText"/>
        <w:spacing w:before="120" w:after="240"/>
        <w:rPr>
          <w:rFonts w:eastAsia="Arial Unicode MS" w:cs="Arial Unicode MS"/>
          <w:color w:val="003366"/>
          <w:sz w:val="28"/>
          <w:szCs w:val="28"/>
        </w:rPr>
      </w:pPr>
      <w:r w:rsidRPr="33F7D8B9">
        <w:rPr>
          <w:rFonts w:eastAsia="Arial Unicode MS" w:cs="Arial Unicode MS"/>
          <w:color w:val="003366"/>
          <w:sz w:val="28"/>
          <w:szCs w:val="28"/>
        </w:rPr>
        <w:t>Prescribed Forms</w:t>
      </w:r>
    </w:p>
    <w:p w14:paraId="605D5278" w14:textId="32828D4C" w:rsidR="00A4043E" w:rsidRDefault="00A4043E" w:rsidP="33C109CD">
      <w:pPr>
        <w:pStyle w:val="BodyText"/>
        <w:spacing w:before="120" w:after="240"/>
        <w:rPr>
          <w:rFonts w:eastAsia="Arial Unicode MS" w:cs="Arial Unicode MS"/>
          <w:color w:val="0070C0"/>
        </w:rPr>
      </w:pPr>
      <w:r w:rsidRPr="33F7D8B9">
        <w:rPr>
          <w:rFonts w:eastAsia="Arial Unicode MS" w:cs="Arial Unicode MS"/>
          <w:color w:val="auto"/>
        </w:rPr>
        <w:t xml:space="preserve">Do you have </w:t>
      </w:r>
      <w:r w:rsidR="00AB520B" w:rsidRPr="33F7D8B9">
        <w:rPr>
          <w:rFonts w:eastAsia="Arial Unicode MS" w:cs="Arial Unicode MS"/>
          <w:color w:val="auto"/>
        </w:rPr>
        <w:t xml:space="preserve">additional </w:t>
      </w:r>
      <w:r w:rsidRPr="33F7D8B9">
        <w:rPr>
          <w:rFonts w:eastAsia="Arial Unicode MS" w:cs="Arial Unicode MS"/>
          <w:color w:val="auto"/>
        </w:rPr>
        <w:t xml:space="preserve">feedback to share on the </w:t>
      </w:r>
      <w:r w:rsidR="626B7A8B" w:rsidRPr="000D0D49">
        <w:rPr>
          <w:rFonts w:eastAsia="Arial Unicode MS" w:cs="Arial Unicode MS"/>
          <w:color w:val="auto"/>
        </w:rPr>
        <w:t>draft Prescribed Forms?</w:t>
      </w:r>
    </w:p>
    <w:p w14:paraId="7731A2A7" w14:textId="77777777" w:rsidR="00A4043E" w:rsidRPr="00880F18" w:rsidRDefault="00A4043E" w:rsidP="00A4043E">
      <w:pPr>
        <w:pStyle w:val="BodyText"/>
        <w:spacing w:before="120" w:after="240"/>
        <w:rPr>
          <w:rFonts w:eastAsia="Arial Unicode MS" w:cs="Arial Unicode MS"/>
          <w:i/>
          <w:iCs/>
          <w:color w:val="auto"/>
        </w:rPr>
      </w:pPr>
      <w:r w:rsidRPr="33C109CD">
        <w:rPr>
          <w:rFonts w:eastAsia="Arial Unicode MS" w:cs="Arial Unicode MS"/>
          <w:i/>
          <w:iCs/>
          <w:color w:val="auto"/>
        </w:rPr>
        <w:t xml:space="preserve">Note: Stakeholders are welcome to attach a separate document that contains comments on the draft documents. Please indicate if separate documents are confidential. </w:t>
      </w:r>
    </w:p>
    <w:p w14:paraId="5FC0B5D2" w14:textId="77777777" w:rsidR="00C16919" w:rsidRDefault="00C16919" w:rsidP="0071297E">
      <w:pPr>
        <w:pStyle w:val="BodyText"/>
        <w:spacing w:before="120" w:after="240"/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6F368E79" w14:textId="7E961C18" w:rsidR="00834980" w:rsidRPr="00880F18" w:rsidRDefault="00D12111" w:rsidP="0071297E">
      <w:pPr>
        <w:pStyle w:val="BodyText"/>
        <w:spacing w:before="120" w:after="240"/>
      </w:pPr>
      <w:r w:rsidRPr="33C109CD">
        <w:rPr>
          <w:rFonts w:eastAsia="Arial Unicode MS" w:cs="Arial Unicode MS"/>
          <w:b/>
          <w:bCs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General Comments/</w:t>
      </w:r>
      <w:r w:rsidRPr="33C109CD">
        <w:rPr>
          <w:rFonts w:eastAsia="Arial Unicode MS" w:cs="Arial Unicode MS"/>
          <w:b/>
          <w:bCs/>
          <w:color w:val="003366"/>
          <w:sz w:val="28"/>
          <w:szCs w:val="28"/>
        </w:rPr>
        <w:t>Feedback</w:t>
      </w:r>
    </w:p>
    <w:p w14:paraId="2B7D49D4" w14:textId="3560A728" w:rsidR="00834980" w:rsidRPr="00880F18" w:rsidRDefault="7874D235" w:rsidP="0071297E">
      <w:pPr>
        <w:pStyle w:val="BodyText"/>
        <w:spacing w:before="120" w:after="240"/>
      </w:pPr>
      <w:r>
        <w:t>Do you have additional feedback to share with the IESO?</w:t>
      </w:r>
    </w:p>
    <w:sectPr w:rsidR="00834980" w:rsidRPr="00880F1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2884" w14:textId="77777777" w:rsidR="006D76E5" w:rsidRDefault="006D76E5">
      <w:r>
        <w:separator/>
      </w:r>
    </w:p>
  </w:endnote>
  <w:endnote w:type="continuationSeparator" w:id="0">
    <w:p w14:paraId="22C1AC4E" w14:textId="77777777" w:rsidR="006D76E5" w:rsidRDefault="006D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3258" w14:textId="6F29F51F" w:rsidR="00834980" w:rsidRDefault="168B369F" w:rsidP="00682EBB">
    <w:pPr>
      <w:pStyle w:val="Footer"/>
      <w:tabs>
        <w:tab w:val="clear" w:pos="11333"/>
        <w:tab w:val="right" w:pos="9873"/>
      </w:tabs>
    </w:pPr>
    <w:r w:rsidRPr="001C7433">
      <w:rPr>
        <w:color w:val="auto"/>
      </w:rPr>
      <w:t xml:space="preserve">LLT RFP </w:t>
    </w:r>
    <w:r w:rsidR="00A373FC">
      <w:rPr>
        <w:color w:val="auto"/>
      </w:rPr>
      <w:t>January 2</w:t>
    </w:r>
    <w:r>
      <w:rPr>
        <w:color w:val="auto"/>
      </w:rPr>
      <w:t xml:space="preserve">8, </w:t>
    </w:r>
    <w:r w:rsidRPr="001C7433">
      <w:rPr>
        <w:color w:val="auto"/>
      </w:rPr>
      <w:t>202</w:t>
    </w:r>
    <w:r w:rsidR="00A373FC">
      <w:rPr>
        <w:color w:val="auto"/>
      </w:rPr>
      <w:t>6</w:t>
    </w:r>
    <w:r w:rsidRPr="001C7433">
      <w:rPr>
        <w:color w:val="auto"/>
      </w:rPr>
      <w:t xml:space="preserve">, Feedback Form </w:t>
    </w:r>
    <w:r>
      <w:t>- Public</w:t>
    </w:r>
    <w:r w:rsidR="001C7433">
      <w:tab/>
    </w:r>
  </w:p>
  <w:p w14:paraId="72158D30" w14:textId="5D83B026" w:rsidR="00834980" w:rsidRDefault="001C7433" w:rsidP="168B369F">
    <w:pPr>
      <w:pStyle w:val="Footer"/>
      <w:tabs>
        <w:tab w:val="clear" w:pos="11333"/>
        <w:tab w:val="right" w:pos="9873"/>
      </w:tabs>
      <w:jc w:val="right"/>
    </w:pPr>
    <w:r w:rsidRPr="168B369F">
      <w:rPr>
        <w:noProof/>
      </w:rPr>
      <w:fldChar w:fldCharType="begin"/>
    </w:r>
    <w:r>
      <w:instrText xml:space="preserve"> PAGE   \* MERGEFORMAT </w:instrText>
    </w:r>
    <w:r w:rsidRPr="168B369F">
      <w:fldChar w:fldCharType="separate"/>
    </w:r>
    <w:r w:rsidR="168B369F" w:rsidRPr="168B369F">
      <w:rPr>
        <w:noProof/>
      </w:rPr>
      <w:t>1</w:t>
    </w:r>
    <w:r w:rsidRPr="168B369F">
      <w:rPr>
        <w:noProof/>
      </w:rPr>
      <w:fldChar w:fldCharType="end"/>
    </w:r>
    <w:r w:rsidR="00682EBB">
      <w:ptab w:relativeTo="margin" w:alignment="center" w:leader="none"/>
    </w:r>
    <w:r w:rsidR="00682EBB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041BE090" w:rsidR="00834980" w:rsidRDefault="00C16919" w:rsidP="168B369F">
    <w:pPr>
      <w:pStyle w:val="Footer"/>
      <w:tabs>
        <w:tab w:val="clear" w:pos="11333"/>
        <w:tab w:val="right" w:pos="9873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95E00CE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111">
      <w:tab/>
    </w:r>
    <w:r w:rsidR="168B369F">
      <w:t xml:space="preserve"> </w:t>
    </w:r>
    <w:r w:rsidR="00D12111" w:rsidRPr="168B369F">
      <w:rPr>
        <w:noProof/>
      </w:rPr>
      <w:fldChar w:fldCharType="begin"/>
    </w:r>
    <w:r w:rsidR="00D12111">
      <w:instrText xml:space="preserve"> PAGE </w:instrText>
    </w:r>
    <w:r w:rsidR="00D12111" w:rsidRPr="168B369F">
      <w:fldChar w:fldCharType="separate"/>
    </w:r>
    <w:r w:rsidR="168B369F">
      <w:rPr>
        <w:noProof/>
      </w:rPr>
      <w:t>1</w:t>
    </w:r>
    <w:r w:rsidR="00D12111" w:rsidRPr="168B36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2076" w14:textId="77777777" w:rsidR="006D76E5" w:rsidRDefault="006D76E5">
      <w:r>
        <w:separator/>
      </w:r>
    </w:p>
  </w:footnote>
  <w:footnote w:type="continuationSeparator" w:id="0">
    <w:p w14:paraId="0858E516" w14:textId="77777777" w:rsidR="006D76E5" w:rsidRDefault="006D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3906095E" w14:textId="77777777" w:rsidTr="168B369F">
      <w:trPr>
        <w:trHeight w:val="300"/>
      </w:trPr>
      <w:tc>
        <w:tcPr>
          <w:tcW w:w="3295" w:type="dxa"/>
        </w:tcPr>
        <w:p w14:paraId="42332669" w14:textId="49925B65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52AD2788" w14:textId="3CEE9363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26DF43DC" w14:textId="70CA2F44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29A174E4" w14:textId="2724104D" w:rsidR="168B369F" w:rsidRDefault="168B369F" w:rsidP="168B3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95"/>
      <w:gridCol w:w="3295"/>
      <w:gridCol w:w="3295"/>
    </w:tblGrid>
    <w:tr w:rsidR="168B369F" w14:paraId="1EC4ECF1" w14:textId="77777777" w:rsidTr="168B369F">
      <w:trPr>
        <w:trHeight w:val="300"/>
      </w:trPr>
      <w:tc>
        <w:tcPr>
          <w:tcW w:w="3295" w:type="dxa"/>
        </w:tcPr>
        <w:p w14:paraId="2BD2F6C5" w14:textId="2C521933" w:rsidR="168B369F" w:rsidRDefault="168B369F" w:rsidP="168B369F">
          <w:pPr>
            <w:pStyle w:val="Header"/>
            <w:ind w:left="-115"/>
          </w:pPr>
        </w:p>
      </w:tc>
      <w:tc>
        <w:tcPr>
          <w:tcW w:w="3295" w:type="dxa"/>
        </w:tcPr>
        <w:p w14:paraId="6302D72F" w14:textId="37DB5B1A" w:rsidR="168B369F" w:rsidRDefault="168B369F" w:rsidP="168B369F">
          <w:pPr>
            <w:pStyle w:val="Header"/>
            <w:jc w:val="center"/>
          </w:pPr>
        </w:p>
      </w:tc>
      <w:tc>
        <w:tcPr>
          <w:tcW w:w="3295" w:type="dxa"/>
        </w:tcPr>
        <w:p w14:paraId="4D5CFD69" w14:textId="08115217" w:rsidR="168B369F" w:rsidRDefault="168B369F" w:rsidP="168B369F">
          <w:pPr>
            <w:pStyle w:val="Header"/>
            <w:ind w:right="-115"/>
            <w:jc w:val="right"/>
          </w:pPr>
        </w:p>
      </w:tc>
    </w:tr>
  </w:tbl>
  <w:p w14:paraId="7402C372" w14:textId="7E70819E" w:rsidR="168B369F" w:rsidRDefault="168B369F" w:rsidP="168B3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935"/>
    <w:multiLevelType w:val="multilevel"/>
    <w:tmpl w:val="CF8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70AEF"/>
    <w:multiLevelType w:val="hybridMultilevel"/>
    <w:tmpl w:val="37564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CD2E"/>
    <w:multiLevelType w:val="hybridMultilevel"/>
    <w:tmpl w:val="202EFC2C"/>
    <w:lvl w:ilvl="0" w:tplc="CB20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D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E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02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0A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20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0FF3"/>
    <w:multiLevelType w:val="hybridMultilevel"/>
    <w:tmpl w:val="3816F37A"/>
    <w:lvl w:ilvl="0" w:tplc="1D0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A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47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E20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0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8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ED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0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8F2335"/>
    <w:multiLevelType w:val="hybridMultilevel"/>
    <w:tmpl w:val="AF9C5F60"/>
    <w:lvl w:ilvl="0" w:tplc="42FE8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D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C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BE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F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80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743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C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26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71F1E4"/>
    <w:multiLevelType w:val="hybridMultilevel"/>
    <w:tmpl w:val="FFFFFFFF"/>
    <w:lvl w:ilvl="0" w:tplc="5458197A">
      <w:start w:val="1"/>
      <w:numFmt w:val="decimal"/>
      <w:lvlText w:val="%1."/>
      <w:lvlJc w:val="left"/>
      <w:pPr>
        <w:ind w:left="720" w:hanging="360"/>
      </w:pPr>
    </w:lvl>
    <w:lvl w:ilvl="1" w:tplc="9F9486BE">
      <w:start w:val="1"/>
      <w:numFmt w:val="lowerLetter"/>
      <w:lvlText w:val="%2."/>
      <w:lvlJc w:val="left"/>
      <w:pPr>
        <w:ind w:left="1440" w:hanging="360"/>
      </w:pPr>
    </w:lvl>
    <w:lvl w:ilvl="2" w:tplc="91782D02">
      <w:start w:val="1"/>
      <w:numFmt w:val="lowerRoman"/>
      <w:lvlText w:val="%3."/>
      <w:lvlJc w:val="right"/>
      <w:pPr>
        <w:ind w:left="2160" w:hanging="180"/>
      </w:pPr>
    </w:lvl>
    <w:lvl w:ilvl="3" w:tplc="F36ACF3C">
      <w:start w:val="1"/>
      <w:numFmt w:val="decimal"/>
      <w:lvlText w:val="%4."/>
      <w:lvlJc w:val="left"/>
      <w:pPr>
        <w:ind w:left="2880" w:hanging="360"/>
      </w:pPr>
    </w:lvl>
    <w:lvl w:ilvl="4" w:tplc="E912E6EA">
      <w:start w:val="1"/>
      <w:numFmt w:val="lowerLetter"/>
      <w:lvlText w:val="%5."/>
      <w:lvlJc w:val="left"/>
      <w:pPr>
        <w:ind w:left="3600" w:hanging="360"/>
      </w:pPr>
    </w:lvl>
    <w:lvl w:ilvl="5" w:tplc="273ECD8E">
      <w:start w:val="1"/>
      <w:numFmt w:val="lowerRoman"/>
      <w:lvlText w:val="%6."/>
      <w:lvlJc w:val="right"/>
      <w:pPr>
        <w:ind w:left="4320" w:hanging="180"/>
      </w:pPr>
    </w:lvl>
    <w:lvl w:ilvl="6" w:tplc="406AA1FE">
      <w:start w:val="1"/>
      <w:numFmt w:val="decimal"/>
      <w:lvlText w:val="%7."/>
      <w:lvlJc w:val="left"/>
      <w:pPr>
        <w:ind w:left="5040" w:hanging="360"/>
      </w:pPr>
    </w:lvl>
    <w:lvl w:ilvl="7" w:tplc="2C6A4C4C">
      <w:start w:val="1"/>
      <w:numFmt w:val="lowerLetter"/>
      <w:lvlText w:val="%8."/>
      <w:lvlJc w:val="left"/>
      <w:pPr>
        <w:ind w:left="5760" w:hanging="360"/>
      </w:pPr>
    </w:lvl>
    <w:lvl w:ilvl="8" w:tplc="6D90AD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146B6"/>
    <w:multiLevelType w:val="multilevel"/>
    <w:tmpl w:val="02F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9F0180"/>
    <w:multiLevelType w:val="hybridMultilevel"/>
    <w:tmpl w:val="FFFFFFFF"/>
    <w:lvl w:ilvl="0" w:tplc="E752D1C4">
      <w:start w:val="1"/>
      <w:numFmt w:val="decimal"/>
      <w:lvlText w:val="%1."/>
      <w:lvlJc w:val="left"/>
      <w:pPr>
        <w:ind w:left="720" w:hanging="360"/>
      </w:pPr>
    </w:lvl>
    <w:lvl w:ilvl="1" w:tplc="D7987186">
      <w:start w:val="1"/>
      <w:numFmt w:val="lowerLetter"/>
      <w:lvlText w:val="%2."/>
      <w:lvlJc w:val="left"/>
      <w:pPr>
        <w:ind w:left="1440" w:hanging="360"/>
      </w:pPr>
    </w:lvl>
    <w:lvl w:ilvl="2" w:tplc="C45A2A6C">
      <w:start w:val="1"/>
      <w:numFmt w:val="lowerRoman"/>
      <w:lvlText w:val="%3."/>
      <w:lvlJc w:val="right"/>
      <w:pPr>
        <w:ind w:left="2160" w:hanging="180"/>
      </w:pPr>
    </w:lvl>
    <w:lvl w:ilvl="3" w:tplc="EF08A822">
      <w:start w:val="1"/>
      <w:numFmt w:val="decimal"/>
      <w:lvlText w:val="%4."/>
      <w:lvlJc w:val="left"/>
      <w:pPr>
        <w:ind w:left="2880" w:hanging="360"/>
      </w:pPr>
    </w:lvl>
    <w:lvl w:ilvl="4" w:tplc="C75497FE">
      <w:start w:val="1"/>
      <w:numFmt w:val="lowerLetter"/>
      <w:lvlText w:val="%5."/>
      <w:lvlJc w:val="left"/>
      <w:pPr>
        <w:ind w:left="3600" w:hanging="360"/>
      </w:pPr>
    </w:lvl>
    <w:lvl w:ilvl="5" w:tplc="71822834">
      <w:start w:val="1"/>
      <w:numFmt w:val="lowerRoman"/>
      <w:lvlText w:val="%6."/>
      <w:lvlJc w:val="right"/>
      <w:pPr>
        <w:ind w:left="4320" w:hanging="180"/>
      </w:pPr>
    </w:lvl>
    <w:lvl w:ilvl="6" w:tplc="D1A65CC4">
      <w:start w:val="1"/>
      <w:numFmt w:val="decimal"/>
      <w:lvlText w:val="%7."/>
      <w:lvlJc w:val="left"/>
      <w:pPr>
        <w:ind w:left="5040" w:hanging="360"/>
      </w:pPr>
    </w:lvl>
    <w:lvl w:ilvl="7" w:tplc="4238D51E">
      <w:start w:val="1"/>
      <w:numFmt w:val="lowerLetter"/>
      <w:lvlText w:val="%8."/>
      <w:lvlJc w:val="left"/>
      <w:pPr>
        <w:ind w:left="5760" w:hanging="360"/>
      </w:pPr>
    </w:lvl>
    <w:lvl w:ilvl="8" w:tplc="91BA2F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F1FAD"/>
    <w:multiLevelType w:val="hybridMultilevel"/>
    <w:tmpl w:val="B9F6BE3C"/>
    <w:lvl w:ilvl="0" w:tplc="BCCA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EA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DAA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05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09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C7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2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6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462D21"/>
    <w:multiLevelType w:val="multilevel"/>
    <w:tmpl w:val="1F4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526DDD"/>
    <w:multiLevelType w:val="hybridMultilevel"/>
    <w:tmpl w:val="3FCAA874"/>
    <w:lvl w:ilvl="0" w:tplc="E7CAE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8A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48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E0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E2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6C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B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A9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C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8276">
    <w:abstractNumId w:val="9"/>
  </w:num>
  <w:num w:numId="2" w16cid:durableId="1446728739">
    <w:abstractNumId w:val="13"/>
  </w:num>
  <w:num w:numId="3" w16cid:durableId="521433031">
    <w:abstractNumId w:val="4"/>
  </w:num>
  <w:num w:numId="4" w16cid:durableId="110439052">
    <w:abstractNumId w:val="2"/>
  </w:num>
  <w:num w:numId="5" w16cid:durableId="484516302">
    <w:abstractNumId w:val="0"/>
  </w:num>
  <w:num w:numId="6" w16cid:durableId="1321733198">
    <w:abstractNumId w:val="12"/>
  </w:num>
  <w:num w:numId="7" w16cid:durableId="1051536738">
    <w:abstractNumId w:val="5"/>
  </w:num>
  <w:num w:numId="8" w16cid:durableId="801732920">
    <w:abstractNumId w:val="6"/>
  </w:num>
  <w:num w:numId="9" w16cid:durableId="293223161">
    <w:abstractNumId w:val="10"/>
  </w:num>
  <w:num w:numId="10" w16cid:durableId="1728216303">
    <w:abstractNumId w:val="3"/>
  </w:num>
  <w:num w:numId="11" w16cid:durableId="1900746365">
    <w:abstractNumId w:val="1"/>
  </w:num>
  <w:num w:numId="12" w16cid:durableId="863707742">
    <w:abstractNumId w:val="11"/>
  </w:num>
  <w:num w:numId="13" w16cid:durableId="1198540669">
    <w:abstractNumId w:val="8"/>
  </w:num>
  <w:num w:numId="14" w16cid:durableId="212384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5349"/>
    <w:rsid w:val="00006835"/>
    <w:rsid w:val="00015AF1"/>
    <w:rsid w:val="00017EBB"/>
    <w:rsid w:val="000203DE"/>
    <w:rsid w:val="000279A4"/>
    <w:rsid w:val="0006439D"/>
    <w:rsid w:val="0009490A"/>
    <w:rsid w:val="000A3572"/>
    <w:rsid w:val="000C7598"/>
    <w:rsid w:val="000D0D49"/>
    <w:rsid w:val="000F06FD"/>
    <w:rsid w:val="000F7AE0"/>
    <w:rsid w:val="00102B98"/>
    <w:rsid w:val="00105E60"/>
    <w:rsid w:val="00125A73"/>
    <w:rsid w:val="001301C8"/>
    <w:rsid w:val="001316C4"/>
    <w:rsid w:val="001553D3"/>
    <w:rsid w:val="00155491"/>
    <w:rsid w:val="001609B8"/>
    <w:rsid w:val="001763AA"/>
    <w:rsid w:val="001A6850"/>
    <w:rsid w:val="001A6D5F"/>
    <w:rsid w:val="001B4109"/>
    <w:rsid w:val="001B4AF2"/>
    <w:rsid w:val="001C7433"/>
    <w:rsid w:val="001D2D3B"/>
    <w:rsid w:val="001F3091"/>
    <w:rsid w:val="00252E3B"/>
    <w:rsid w:val="00265162"/>
    <w:rsid w:val="00294F70"/>
    <w:rsid w:val="0029509F"/>
    <w:rsid w:val="002A66BC"/>
    <w:rsid w:val="003020F1"/>
    <w:rsid w:val="003179B3"/>
    <w:rsid w:val="00343EA4"/>
    <w:rsid w:val="003A086E"/>
    <w:rsid w:val="003A4A29"/>
    <w:rsid w:val="003C5345"/>
    <w:rsid w:val="00400A20"/>
    <w:rsid w:val="00407C8C"/>
    <w:rsid w:val="0041742E"/>
    <w:rsid w:val="00424C6C"/>
    <w:rsid w:val="004608C7"/>
    <w:rsid w:val="004639F9"/>
    <w:rsid w:val="004767BF"/>
    <w:rsid w:val="004775CB"/>
    <w:rsid w:val="004C3EEB"/>
    <w:rsid w:val="004C79F2"/>
    <w:rsid w:val="004D4FA8"/>
    <w:rsid w:val="004D57E0"/>
    <w:rsid w:val="0050C720"/>
    <w:rsid w:val="0052753C"/>
    <w:rsid w:val="005420E7"/>
    <w:rsid w:val="005461E3"/>
    <w:rsid w:val="00555953"/>
    <w:rsid w:val="005635C8"/>
    <w:rsid w:val="00577993"/>
    <w:rsid w:val="0058457A"/>
    <w:rsid w:val="005A7B7F"/>
    <w:rsid w:val="005C2B93"/>
    <w:rsid w:val="005D1F0F"/>
    <w:rsid w:val="005E5DE7"/>
    <w:rsid w:val="005E5FFB"/>
    <w:rsid w:val="005E7E77"/>
    <w:rsid w:val="005F2FF0"/>
    <w:rsid w:val="00610B2D"/>
    <w:rsid w:val="006245C4"/>
    <w:rsid w:val="00632A24"/>
    <w:rsid w:val="00656209"/>
    <w:rsid w:val="00663174"/>
    <w:rsid w:val="00666E40"/>
    <w:rsid w:val="006670FD"/>
    <w:rsid w:val="00682EBB"/>
    <w:rsid w:val="006B5BFA"/>
    <w:rsid w:val="006D39F0"/>
    <w:rsid w:val="006D76E5"/>
    <w:rsid w:val="006F3E5F"/>
    <w:rsid w:val="006F5C49"/>
    <w:rsid w:val="0071297E"/>
    <w:rsid w:val="0072653A"/>
    <w:rsid w:val="00735E87"/>
    <w:rsid w:val="007512E4"/>
    <w:rsid w:val="007575D3"/>
    <w:rsid w:val="0076704F"/>
    <w:rsid w:val="00770809"/>
    <w:rsid w:val="00771F2D"/>
    <w:rsid w:val="007877FE"/>
    <w:rsid w:val="007A4BC2"/>
    <w:rsid w:val="007A5763"/>
    <w:rsid w:val="007D713D"/>
    <w:rsid w:val="007F4F6A"/>
    <w:rsid w:val="0081198E"/>
    <w:rsid w:val="00812A50"/>
    <w:rsid w:val="00814B6B"/>
    <w:rsid w:val="00834980"/>
    <w:rsid w:val="00836613"/>
    <w:rsid w:val="00857CB4"/>
    <w:rsid w:val="00873674"/>
    <w:rsid w:val="00880F18"/>
    <w:rsid w:val="00887B86"/>
    <w:rsid w:val="008E4404"/>
    <w:rsid w:val="009306A3"/>
    <w:rsid w:val="00955505"/>
    <w:rsid w:val="009759CA"/>
    <w:rsid w:val="00977F5F"/>
    <w:rsid w:val="009851A6"/>
    <w:rsid w:val="009A3984"/>
    <w:rsid w:val="009A6919"/>
    <w:rsid w:val="009E1BE3"/>
    <w:rsid w:val="009E1D0C"/>
    <w:rsid w:val="009F0EF1"/>
    <w:rsid w:val="00A01AAF"/>
    <w:rsid w:val="00A03A04"/>
    <w:rsid w:val="00A20045"/>
    <w:rsid w:val="00A2DC7A"/>
    <w:rsid w:val="00A37211"/>
    <w:rsid w:val="00A373FC"/>
    <w:rsid w:val="00A4043E"/>
    <w:rsid w:val="00A660F1"/>
    <w:rsid w:val="00A85CF7"/>
    <w:rsid w:val="00AA412F"/>
    <w:rsid w:val="00AB520B"/>
    <w:rsid w:val="00AC2E35"/>
    <w:rsid w:val="00AD3C1A"/>
    <w:rsid w:val="00AE1260"/>
    <w:rsid w:val="00AE302E"/>
    <w:rsid w:val="00B23CA8"/>
    <w:rsid w:val="00B248BD"/>
    <w:rsid w:val="00B27009"/>
    <w:rsid w:val="00B53C38"/>
    <w:rsid w:val="00B5724B"/>
    <w:rsid w:val="00B61210"/>
    <w:rsid w:val="00B93215"/>
    <w:rsid w:val="00B9544A"/>
    <w:rsid w:val="00BB5060"/>
    <w:rsid w:val="00BC0B2B"/>
    <w:rsid w:val="00BD5FEE"/>
    <w:rsid w:val="00BD74AD"/>
    <w:rsid w:val="00BF4E05"/>
    <w:rsid w:val="00BF54BB"/>
    <w:rsid w:val="00BF55E7"/>
    <w:rsid w:val="00C00D91"/>
    <w:rsid w:val="00C16919"/>
    <w:rsid w:val="00C42D90"/>
    <w:rsid w:val="00C60CC1"/>
    <w:rsid w:val="00C65A85"/>
    <w:rsid w:val="00C92851"/>
    <w:rsid w:val="00CA33AB"/>
    <w:rsid w:val="00CB17F0"/>
    <w:rsid w:val="00CC7F3B"/>
    <w:rsid w:val="00CD05E6"/>
    <w:rsid w:val="00CE3975"/>
    <w:rsid w:val="00D00916"/>
    <w:rsid w:val="00D12111"/>
    <w:rsid w:val="00D15F19"/>
    <w:rsid w:val="00D30952"/>
    <w:rsid w:val="00D43313"/>
    <w:rsid w:val="00D47F0E"/>
    <w:rsid w:val="00D54ACD"/>
    <w:rsid w:val="00D55EBB"/>
    <w:rsid w:val="00D672BC"/>
    <w:rsid w:val="00D7045C"/>
    <w:rsid w:val="00D87854"/>
    <w:rsid w:val="00DB38A6"/>
    <w:rsid w:val="00DC133E"/>
    <w:rsid w:val="00DF4FF2"/>
    <w:rsid w:val="00E2564F"/>
    <w:rsid w:val="00E4488A"/>
    <w:rsid w:val="00E566E5"/>
    <w:rsid w:val="00E66363"/>
    <w:rsid w:val="00E90DE1"/>
    <w:rsid w:val="00EB0418"/>
    <w:rsid w:val="00EB38E4"/>
    <w:rsid w:val="00EB4A6B"/>
    <w:rsid w:val="00EC27D0"/>
    <w:rsid w:val="00EE5E2A"/>
    <w:rsid w:val="00EF42BA"/>
    <w:rsid w:val="00F02804"/>
    <w:rsid w:val="00F21557"/>
    <w:rsid w:val="00F22568"/>
    <w:rsid w:val="00F265E2"/>
    <w:rsid w:val="00F51F38"/>
    <w:rsid w:val="00F9182C"/>
    <w:rsid w:val="00F91B98"/>
    <w:rsid w:val="00F930DE"/>
    <w:rsid w:val="00F95CC6"/>
    <w:rsid w:val="00FE0D1B"/>
    <w:rsid w:val="0231A9D4"/>
    <w:rsid w:val="02A61E1B"/>
    <w:rsid w:val="03DF0D0F"/>
    <w:rsid w:val="042D9358"/>
    <w:rsid w:val="04411480"/>
    <w:rsid w:val="05AB06EA"/>
    <w:rsid w:val="05FC946E"/>
    <w:rsid w:val="0667DDA9"/>
    <w:rsid w:val="0670C463"/>
    <w:rsid w:val="07060587"/>
    <w:rsid w:val="070CA3B3"/>
    <w:rsid w:val="084FDD3B"/>
    <w:rsid w:val="0A15E5CF"/>
    <w:rsid w:val="0A5495E2"/>
    <w:rsid w:val="0A6E0013"/>
    <w:rsid w:val="0A9C1E3B"/>
    <w:rsid w:val="0AAFAC3B"/>
    <w:rsid w:val="0C3E1717"/>
    <w:rsid w:val="0EDA0C7D"/>
    <w:rsid w:val="0FAAEAE9"/>
    <w:rsid w:val="1031D43B"/>
    <w:rsid w:val="11379D59"/>
    <w:rsid w:val="12827905"/>
    <w:rsid w:val="1347D4A2"/>
    <w:rsid w:val="13DAFCE3"/>
    <w:rsid w:val="14087B3C"/>
    <w:rsid w:val="1616AD38"/>
    <w:rsid w:val="1645E668"/>
    <w:rsid w:val="1652E074"/>
    <w:rsid w:val="168B369F"/>
    <w:rsid w:val="16AA9E88"/>
    <w:rsid w:val="16CA2CB3"/>
    <w:rsid w:val="17951F58"/>
    <w:rsid w:val="18007C35"/>
    <w:rsid w:val="187BE759"/>
    <w:rsid w:val="1A071DAF"/>
    <w:rsid w:val="1A11E59C"/>
    <w:rsid w:val="1C16E28B"/>
    <w:rsid w:val="1C75DED5"/>
    <w:rsid w:val="1CE923A8"/>
    <w:rsid w:val="1D0E3B0E"/>
    <w:rsid w:val="1DA41BBF"/>
    <w:rsid w:val="1EACFA05"/>
    <w:rsid w:val="1FCC6B39"/>
    <w:rsid w:val="2017BA09"/>
    <w:rsid w:val="20511AF1"/>
    <w:rsid w:val="207296AE"/>
    <w:rsid w:val="207E6CE5"/>
    <w:rsid w:val="209BAC73"/>
    <w:rsid w:val="20A703EF"/>
    <w:rsid w:val="20EF2F91"/>
    <w:rsid w:val="2134E5DB"/>
    <w:rsid w:val="222DAC35"/>
    <w:rsid w:val="22485714"/>
    <w:rsid w:val="22537FA7"/>
    <w:rsid w:val="2278D7BA"/>
    <w:rsid w:val="22F757DE"/>
    <w:rsid w:val="2356297B"/>
    <w:rsid w:val="2562EF1A"/>
    <w:rsid w:val="25AD3C82"/>
    <w:rsid w:val="268AC87F"/>
    <w:rsid w:val="268FB722"/>
    <w:rsid w:val="28FB9ED7"/>
    <w:rsid w:val="29154EF1"/>
    <w:rsid w:val="2AC83078"/>
    <w:rsid w:val="2BF99FAB"/>
    <w:rsid w:val="2C181BE1"/>
    <w:rsid w:val="2E3626D3"/>
    <w:rsid w:val="2F30D78A"/>
    <w:rsid w:val="3055FE1C"/>
    <w:rsid w:val="3148FEE9"/>
    <w:rsid w:val="31DD69A0"/>
    <w:rsid w:val="33C109CD"/>
    <w:rsid w:val="33F7D8B9"/>
    <w:rsid w:val="34FB4CA1"/>
    <w:rsid w:val="3585D9EC"/>
    <w:rsid w:val="383B688B"/>
    <w:rsid w:val="38943F36"/>
    <w:rsid w:val="38A7100A"/>
    <w:rsid w:val="38F46A00"/>
    <w:rsid w:val="396DF03B"/>
    <w:rsid w:val="39FB662B"/>
    <w:rsid w:val="3A954A6A"/>
    <w:rsid w:val="3CA1B651"/>
    <w:rsid w:val="3CEEE003"/>
    <w:rsid w:val="3D058A85"/>
    <w:rsid w:val="3DD769C4"/>
    <w:rsid w:val="3E32C283"/>
    <w:rsid w:val="3E8EE0C1"/>
    <w:rsid w:val="3EC161DD"/>
    <w:rsid w:val="404D509B"/>
    <w:rsid w:val="408E5EC0"/>
    <w:rsid w:val="40CB7343"/>
    <w:rsid w:val="40FA110D"/>
    <w:rsid w:val="41227255"/>
    <w:rsid w:val="42078B6B"/>
    <w:rsid w:val="42189ACC"/>
    <w:rsid w:val="433BAEFF"/>
    <w:rsid w:val="44E417B9"/>
    <w:rsid w:val="44FE18FF"/>
    <w:rsid w:val="4543CD86"/>
    <w:rsid w:val="45C0FEBE"/>
    <w:rsid w:val="46783CE8"/>
    <w:rsid w:val="4724F27E"/>
    <w:rsid w:val="47C52616"/>
    <w:rsid w:val="48042B50"/>
    <w:rsid w:val="483ED306"/>
    <w:rsid w:val="483FB859"/>
    <w:rsid w:val="4931B3A3"/>
    <w:rsid w:val="4941FC36"/>
    <w:rsid w:val="49E3BF4A"/>
    <w:rsid w:val="4B8016BC"/>
    <w:rsid w:val="4C57106D"/>
    <w:rsid w:val="4C5B0EC3"/>
    <w:rsid w:val="4D383400"/>
    <w:rsid w:val="4D3F43E7"/>
    <w:rsid w:val="4E0E80CC"/>
    <w:rsid w:val="4F0421EB"/>
    <w:rsid w:val="4F55BD03"/>
    <w:rsid w:val="4F76D04B"/>
    <w:rsid w:val="4F8E6020"/>
    <w:rsid w:val="50EC903B"/>
    <w:rsid w:val="5150D728"/>
    <w:rsid w:val="51C4854D"/>
    <w:rsid w:val="51DD60D5"/>
    <w:rsid w:val="522C5DC1"/>
    <w:rsid w:val="524BD6F5"/>
    <w:rsid w:val="53BDD779"/>
    <w:rsid w:val="546C7A60"/>
    <w:rsid w:val="54A4575A"/>
    <w:rsid w:val="54AD6969"/>
    <w:rsid w:val="5517D1B4"/>
    <w:rsid w:val="55EEE4F2"/>
    <w:rsid w:val="5746CD58"/>
    <w:rsid w:val="58C60B9E"/>
    <w:rsid w:val="5B42C63D"/>
    <w:rsid w:val="5C955C51"/>
    <w:rsid w:val="5C99C7D9"/>
    <w:rsid w:val="5D15A6E8"/>
    <w:rsid w:val="5D1B9D28"/>
    <w:rsid w:val="5E9AAC0A"/>
    <w:rsid w:val="5EC62F46"/>
    <w:rsid w:val="5FAADE2D"/>
    <w:rsid w:val="60ED13ED"/>
    <w:rsid w:val="615908E2"/>
    <w:rsid w:val="6165869B"/>
    <w:rsid w:val="619098D4"/>
    <w:rsid w:val="626B7A8B"/>
    <w:rsid w:val="62FEE110"/>
    <w:rsid w:val="63130033"/>
    <w:rsid w:val="633CB211"/>
    <w:rsid w:val="638F66BA"/>
    <w:rsid w:val="63DAF536"/>
    <w:rsid w:val="6532D636"/>
    <w:rsid w:val="660BA1F1"/>
    <w:rsid w:val="67BDB712"/>
    <w:rsid w:val="67DBD170"/>
    <w:rsid w:val="68B70E51"/>
    <w:rsid w:val="68B80B0C"/>
    <w:rsid w:val="6913E61D"/>
    <w:rsid w:val="69AB81E6"/>
    <w:rsid w:val="69AF21CC"/>
    <w:rsid w:val="6BBF1C18"/>
    <w:rsid w:val="6BF8C2E8"/>
    <w:rsid w:val="6C005EAA"/>
    <w:rsid w:val="6C1F6C7A"/>
    <w:rsid w:val="6CC35DA2"/>
    <w:rsid w:val="6DA9460B"/>
    <w:rsid w:val="6DBFE78A"/>
    <w:rsid w:val="6E4CEC37"/>
    <w:rsid w:val="6E63B739"/>
    <w:rsid w:val="6E86A92E"/>
    <w:rsid w:val="6EDACCEE"/>
    <w:rsid w:val="6F133B4E"/>
    <w:rsid w:val="6F1E3FE1"/>
    <w:rsid w:val="6F55DE4F"/>
    <w:rsid w:val="70BFE9AA"/>
    <w:rsid w:val="72E30B04"/>
    <w:rsid w:val="73361B24"/>
    <w:rsid w:val="74D2351C"/>
    <w:rsid w:val="74D45DF0"/>
    <w:rsid w:val="75C16AC3"/>
    <w:rsid w:val="764F90B9"/>
    <w:rsid w:val="7727D4FC"/>
    <w:rsid w:val="7874D235"/>
    <w:rsid w:val="7895553F"/>
    <w:rsid w:val="791ABBB0"/>
    <w:rsid w:val="799AAB85"/>
    <w:rsid w:val="79F59472"/>
    <w:rsid w:val="7A2CCED3"/>
    <w:rsid w:val="7A2FC5D2"/>
    <w:rsid w:val="7A38BDEB"/>
    <w:rsid w:val="7A68973C"/>
    <w:rsid w:val="7AF797D3"/>
    <w:rsid w:val="7BC0DA9B"/>
    <w:rsid w:val="7CC2E0D4"/>
    <w:rsid w:val="7D55024F"/>
    <w:rsid w:val="7DAF155F"/>
    <w:rsid w:val="7E05EAB3"/>
    <w:rsid w:val="7E0F7D3D"/>
    <w:rsid w:val="7E1633A0"/>
    <w:rsid w:val="7E5AC758"/>
    <w:rsid w:val="7F59BA71"/>
    <w:rsid w:val="7FE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9061C072-DD5B-4D2A-8C47-7AC1144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15A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eso.ca/Sector-Participants/Engagement-Initiatives/Engagements/Long-Lead-Time-RF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7159c-6eae-400b-9470-2935e037a541"/>
    <lcf76f155ced4ddcb4097134ff3c332f xmlns="a861db3d-3048-432f-b757-22458df766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EDE051B90FE44824E1D5885632B5E" ma:contentTypeVersion="15" ma:contentTypeDescription="Create a new document." ma:contentTypeScope="" ma:versionID="392c2756ee000aa012f294bda23342ed">
  <xsd:schema xmlns:xsd="http://www.w3.org/2001/XMLSchema" xmlns:xs="http://www.w3.org/2001/XMLSchema" xmlns:p="http://schemas.microsoft.com/office/2006/metadata/properties" xmlns:ns2="a861db3d-3048-432f-b757-22458df766e9" xmlns:ns3="9667159c-6eae-400b-9470-2935e037a541" targetNamespace="http://schemas.microsoft.com/office/2006/metadata/properties" ma:root="true" ma:fieldsID="1e87780ba9f4a95dbd8c9c09cd940608" ns2:_="" ns3:_="">
    <xsd:import namespace="a861db3d-3048-432f-b757-22458df766e9"/>
    <xsd:import namespace="9667159c-6eae-400b-9470-2935e037a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1db3d-3048-432f-b757-22458df7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7159c-6eae-400b-9470-2935e037a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23d0d8-8ea8-4d02-814b-84fa04060cad}" ma:internalName="TaxCatchAll" ma:showField="CatchAllData" ma:web="9667159c-6eae-400b-9470-2935e037a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E65AE-B502-4E18-BEE2-ACEFD4817176}">
  <ds:schemaRefs>
    <ds:schemaRef ds:uri="http://purl.org/dc/terms/"/>
    <ds:schemaRef ds:uri="a861db3d-3048-432f-b757-22458df766e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667159c-6eae-400b-9470-2935e037a5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8704B3-EB21-4194-9286-2B0017CC3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1db3d-3048-432f-b757-22458df766e9"/>
    <ds:schemaRef ds:uri="9667159c-6eae-400b-9470-2935e037a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2802</Characters>
  <Application>Microsoft Office Word</Application>
  <DocSecurity>0</DocSecurity>
  <Lines>23</Lines>
  <Paragraphs>6</Paragraphs>
  <ScaleCrop>false</ScaleCrop>
  <Company>IESO</Company>
  <LinksUpToDate>false</LinksUpToDate>
  <CharactersWithSpaces>3287</CharactersWithSpaces>
  <SharedDoc>false</SharedDoc>
  <HLinks>
    <vt:vector size="24" baseType="variant">
      <vt:variant>
        <vt:i4>2949125</vt:i4>
      </vt:variant>
      <vt:variant>
        <vt:i4>3</vt:i4>
      </vt:variant>
      <vt:variant>
        <vt:i4>0</vt:i4>
      </vt:variant>
      <vt:variant>
        <vt:i4>5</vt:i4>
      </vt:variant>
      <vt:variant>
        <vt:lpwstr>mailto:engagement@ieso.ca</vt:lpwstr>
      </vt:variant>
      <vt:variant>
        <vt:lpwstr/>
      </vt:variant>
      <vt:variant>
        <vt:i4>6225997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https://www.ieso.ca/Sector-Participants/Engagement-Initiatives/Engagements/Long-Lead-Time-RFP</vt:lpwstr>
      </vt:variant>
      <vt:variant>
        <vt:lpwstr/>
      </vt:variant>
      <vt:variant>
        <vt:i4>8192019</vt:i4>
      </vt:variant>
      <vt:variant>
        <vt:i4>3</vt:i4>
      </vt:variant>
      <vt:variant>
        <vt:i4>0</vt:i4>
      </vt:variant>
      <vt:variant>
        <vt:i4>5</vt:i4>
      </vt:variant>
      <vt:variant>
        <vt:lpwstr>mailto:Danielle.DSouza@ieso.ca</vt:lpwstr>
      </vt:variant>
      <vt:variant>
        <vt:lpwstr/>
      </vt:variant>
      <vt:variant>
        <vt:i4>8192019</vt:i4>
      </vt:variant>
      <vt:variant>
        <vt:i4>0</vt:i4>
      </vt:variant>
      <vt:variant>
        <vt:i4>0</vt:i4>
      </vt:variant>
      <vt:variant>
        <vt:i4>5</vt:i4>
      </vt:variant>
      <vt:variant>
        <vt:lpwstr>mailto:Danielle.DSouza@ieso.ca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Zhaoda Qu</dc:creator>
  <cp:keywords/>
  <cp:lastModifiedBy>Trisha Hickson</cp:lastModifiedBy>
  <cp:revision>3</cp:revision>
  <dcterms:created xsi:type="dcterms:W3CDTF">2026-01-27T20:43:00Z</dcterms:created>
  <dcterms:modified xsi:type="dcterms:W3CDTF">2026-01-27T20:44:00Z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0x0101002E8EDE051B90FE44824E1D5885632B5E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