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74DF1065" w:rsidR="00834980" w:rsidRDefault="004E082C" w:rsidP="00BD74AD">
      <w:pPr>
        <w:pStyle w:val="Heading2"/>
      </w:pPr>
      <w:r w:rsidRPr="004E082C">
        <w:t xml:space="preserve">Repowering Existing Facilities </w:t>
      </w:r>
      <w:r w:rsidR="00D12111">
        <w:t xml:space="preserve">– </w:t>
      </w:r>
      <w:r w:rsidR="00FE5744" w:rsidRPr="00FE5744">
        <w:t xml:space="preserve">October </w:t>
      </w:r>
      <w:r>
        <w:t>20</w:t>
      </w:r>
      <w:r w:rsidR="00BD74AD">
        <w:t xml:space="preserve">, </w:t>
      </w:r>
      <w:r w:rsidR="00D12111">
        <w:t>202</w:t>
      </w:r>
      <w:r w:rsidR="00BD74AD">
        <w:t>5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2B995D7C" w14:textId="08B2D6C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5A7E2C82" w:rsidR="00BD74AD" w:rsidRPr="00735E87" w:rsidRDefault="00BD74AD" w:rsidP="00735E87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To promote transparency, feedback submitted will be posted on the </w:t>
                            </w:r>
                            <w:r w:rsidR="00FB72C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Long Lead-Time</w:t>
                            </w:r>
                            <w:r w:rsidR="004E082C">
                              <w:t xml:space="preserve"> </w:t>
                            </w: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5.75pt;width:489.7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14:paraId="5F5E76E8" w14:textId="5A7E2C82" w:rsidR="00BD74AD" w:rsidRPr="00735E87" w:rsidRDefault="00BD74AD" w:rsidP="00735E87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To promote transparency, feedback submitted will be posted on the </w:t>
                      </w:r>
                      <w:r w:rsidR="00FB72C7">
                        <w:rPr>
                          <w:rFonts w:ascii="Tahoma" w:hAnsi="Tahoma" w:cs="Tahoma"/>
                          <w:sz w:val="22"/>
                          <w:szCs w:val="22"/>
                        </w:rPr>
                        <w:t>Long Lead-Time</w:t>
                      </w:r>
                      <w:r w:rsidR="004E082C">
                        <w:t xml:space="preserve"> </w:t>
                      </w: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engagement page unless otherwise requested by the sender. </w:t>
                      </w:r>
                    </w:p>
                    <w:p w14:paraId="38A5E2AB" w14:textId="77777777" w:rsidR="00BD74AD" w:rsidRPr="00735E87" w:rsidRDefault="00BD74AD" w:rsidP="00BD74A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6048A82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Yes – there is confidential information, do not post</w:t>
                      </w:r>
                    </w:p>
                    <w:p w14:paraId="37426A1B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D7A55D" w14:textId="7777777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</w:p>
    <w:p w14:paraId="5FF95A9D" w14:textId="6BEEBD6E" w:rsidR="00834980" w:rsidRDefault="00D12111">
      <w:pPr>
        <w:pStyle w:val="BodyText"/>
      </w:pPr>
      <w:r>
        <w:t xml:space="preserve">Following the </w:t>
      </w:r>
      <w:r w:rsidR="004E082C">
        <w:t>Repowering Existing Facilities</w:t>
      </w:r>
      <w:r w:rsidR="003710FD" w:rsidRPr="003710FD">
        <w:t xml:space="preserve"> </w:t>
      </w:r>
      <w:r>
        <w:t xml:space="preserve">engagement webinar, the Independent Electricity System Operator (IESO) is seeking feedback from stakeholders on the items discussed. The presentation and recording can be accessed from the </w:t>
      </w:r>
      <w:hyperlink r:id="rId10">
        <w:r w:rsidR="00FB72C7" w:rsidRPr="4AF8E29D">
          <w:rPr>
            <w:rStyle w:val="Hyperlink"/>
          </w:rPr>
          <w:t>LLT RFP St</w:t>
        </w:r>
        <w:r w:rsidR="00FB72C7" w:rsidRPr="4AF8E29D">
          <w:rPr>
            <w:rStyle w:val="Hyperlink"/>
          </w:rPr>
          <w:t>a</w:t>
        </w:r>
        <w:r w:rsidR="00FB72C7" w:rsidRPr="4AF8E29D">
          <w:rPr>
            <w:rStyle w:val="Hyperlink"/>
          </w:rPr>
          <w:t>keholder Engagement Webpage</w:t>
        </w:r>
      </w:hyperlink>
      <w:r w:rsidR="00A03A04">
        <w:t xml:space="preserve">. </w:t>
      </w:r>
    </w:p>
    <w:p w14:paraId="5D90A437" w14:textId="77777777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When sending additional materials please indicate if they are confidential. </w:t>
      </w:r>
    </w:p>
    <w:p w14:paraId="7A9ED657" w14:textId="6228D65B" w:rsidR="00834980" w:rsidRDefault="00D12111">
      <w:pPr>
        <w:pStyle w:val="BodyText"/>
      </w:pPr>
      <w:r>
        <w:rPr>
          <w:b/>
          <w:bCs/>
        </w:rPr>
        <w:t>Please submit feedback to</w:t>
      </w:r>
      <w:r>
        <w:t xml:space="preserve"> </w:t>
      </w:r>
      <w:hyperlink r:id="rId11" w:history="1">
        <w:r w:rsidR="00834980">
          <w:rPr>
            <w:rStyle w:val="Hyperlink0"/>
          </w:rPr>
          <w:t>engagement@ieso.ca</w:t>
        </w:r>
      </w:hyperlink>
      <w:r>
        <w:t xml:space="preserve"> </w:t>
      </w:r>
      <w:r>
        <w:rPr>
          <w:b/>
          <w:bCs/>
        </w:rPr>
        <w:t xml:space="preserve">by </w:t>
      </w:r>
      <w:r w:rsidR="00BA4EF9">
        <w:rPr>
          <w:b/>
          <w:bCs/>
        </w:rPr>
        <w:t xml:space="preserve">November 21, </w:t>
      </w:r>
      <w:proofErr w:type="gramStart"/>
      <w:r w:rsidR="00BA4EF9">
        <w:rPr>
          <w:b/>
          <w:bCs/>
        </w:rPr>
        <w:t>2025</w:t>
      </w:r>
      <w:r w:rsidR="00BA4EF9" w:rsidRPr="003710FD">
        <w:rPr>
          <w:b/>
          <w:bCs/>
        </w:rPr>
        <w:t xml:space="preserve"> </w:t>
      </w:r>
      <w:r>
        <w:rPr>
          <w:b/>
          <w:bCs/>
        </w:rPr>
        <w:t>.</w:t>
      </w:r>
      <w:proofErr w:type="gramEnd"/>
      <w: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18DC3BE1" w14:textId="504086F5" w:rsidR="004E082C" w:rsidRPr="004E082C" w:rsidRDefault="00096F18" w:rsidP="004E082C">
      <w:pPr>
        <w:pStyle w:val="BodyText"/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Technology-Specific Considerations</w:t>
      </w:r>
      <w:r w:rsidR="004E082C" w:rsidRPr="004E082C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4E082C" w:rsidRPr="004E082C"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3E8607CF" w14:textId="50477BE2" w:rsidR="00096F18" w:rsidRDefault="00096F18" w:rsidP="00096F18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096F18"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What types of repowering are technically and economically feasible for each </w:t>
      </w:r>
      <w:proofErr w:type="gramStart"/>
      <w:r w:rsidRPr="00096F18"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generation</w:t>
      </w:r>
      <w:proofErr w:type="gramEnd"/>
      <w:r w:rsidRPr="00096F18"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technology (e.g., hydro, wind, solar, gas)?</w:t>
      </w:r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0E27374" w14:textId="53B44670" w:rsidR="00096F18" w:rsidRDefault="00096F18" w:rsidP="00096F18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For each repowering option, what is the development time</w:t>
      </w:r>
      <w:r w:rsidR="002E0EFA"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 (i.e. how long would it take to conduct the work and have the facility back in service?)</w:t>
      </w:r>
      <w: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 and the life span of the </w:t>
      </w:r>
      <w:r w:rsidR="002E0EFA"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resulting facility (i.e. once the work has been completed, how long would the facility be able to reliably operate)</w:t>
      </w:r>
      <w: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? What would be the associated increase in capacity/production capability (if any)? </w:t>
      </w:r>
    </w:p>
    <w:p w14:paraId="09031603" w14:textId="394D08B7" w:rsidR="00096F18" w:rsidRPr="00096F18" w:rsidRDefault="00096F18" w:rsidP="00096F18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What length of contract would be required?</w:t>
      </w:r>
    </w:p>
    <w:p w14:paraId="053294A6" w14:textId="55FF321F" w:rsidR="00466B87" w:rsidRPr="00466B87" w:rsidRDefault="00096F18" w:rsidP="00466B87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W</w:t>
      </w:r>
      <w:r w:rsidRPr="00096F18"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hat are the associated costs and complexities</w:t>
      </w:r>
      <w:r w:rsidR="00B84CB6"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/challenges</w:t>
      </w:r>
      <w:r w:rsidRPr="00096F18"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?</w:t>
      </w:r>
      <w:r w:rsidR="004E082C" w:rsidRPr="00096F18"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6695AAD3" w14:textId="06E95AED" w:rsidR="002E0EFA" w:rsidRPr="00096F18" w:rsidRDefault="00466B87" w:rsidP="00096F18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For each technology, what are the regulatory barriers they might face? What extent of repowering would trigger the need to get new permits/approvals (such as the REA)?</w:t>
      </w:r>
    </w:p>
    <w:p w14:paraId="04C82E0E" w14:textId="77777777" w:rsidR="004E082C" w:rsidRPr="004E082C" w:rsidRDefault="004E082C" w:rsidP="004E082C">
      <w:pPr>
        <w:pStyle w:val="BodyText"/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4E082C"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0E9B876F" w14:textId="018DD586" w:rsidR="004E082C" w:rsidRPr="004E082C" w:rsidRDefault="00096F18" w:rsidP="004E082C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Eligibility &amp; Contract Design</w:t>
      </w:r>
      <w:r w:rsidR="004E082C" w:rsidRPr="004E082C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  </w:t>
      </w:r>
    </w:p>
    <w:p w14:paraId="08C630E8" w14:textId="3445BF90" w:rsidR="00AF403D" w:rsidRDefault="00AF403D" w:rsidP="00AF403D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Should there be a minimum equipment replacement percentage requirement for repowered facilities (or some other similar criteria)?</w:t>
      </w:r>
    </w:p>
    <w:p w14:paraId="364EE210" w14:textId="1F0FBC6D" w:rsidR="00AF403D" w:rsidRDefault="00AF403D" w:rsidP="00AF403D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Should there be a minimum facility age to be eligible for “full” repowering (</w:t>
      </w:r>
      <w:r w:rsidR="00B84CB6"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new </w:t>
      </w:r>
      <w: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20-year term)? How can the IESO best incentivize getting maximum value for ratepayers out of existing facilities?</w:t>
      </w:r>
    </w:p>
    <w:p w14:paraId="0B4358FB" w14:textId="6CD2DC39" w:rsidR="00AF403D" w:rsidRDefault="00AF403D" w:rsidP="00AF403D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Are there any unique contractual provisions that may be required for repowered facilities relative to the current LT2 contracts?</w:t>
      </w:r>
    </w:p>
    <w:p w14:paraId="65EFA099" w14:textId="5B952F86" w:rsidR="00AF403D" w:rsidRPr="00096F18" w:rsidRDefault="00AF403D" w:rsidP="00AF403D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Should performance security or milestones differ for repowered facilities? If so, how?</w:t>
      </w:r>
    </w:p>
    <w:p w14:paraId="31B94E81" w14:textId="45FF074F" w:rsidR="00AF403D" w:rsidRPr="00096F18" w:rsidRDefault="00AF403D" w:rsidP="00AF403D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Are there technologies that </w:t>
      </w:r>
      <w:r w:rsidR="002E0EFA"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could conduct</w:t>
      </w:r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phased repowering</w:t>
      </w:r>
      <w:r w:rsidR="002E0EFA"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by repowering a portion of their facility while the rest of the facility continued to operate</w:t>
      </w:r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?</w:t>
      </w:r>
    </w:p>
    <w:p w14:paraId="56A342D4" w14:textId="77777777" w:rsidR="004E082C" w:rsidRPr="004E082C" w:rsidRDefault="004E082C" w:rsidP="004E082C">
      <w:pPr>
        <w:pStyle w:val="BodyText"/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4E082C"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5047A5BE" w14:textId="595BF472" w:rsidR="004E082C" w:rsidRPr="004E082C" w:rsidRDefault="00AF403D" w:rsidP="004E082C">
      <w:pPr>
        <w:pStyle w:val="BodyText"/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Competition &amp; Fairness</w:t>
      </w:r>
      <w:r w:rsidR="004E082C" w:rsidRPr="004E082C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4E082C" w:rsidRPr="004E082C"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59C8B9B5" w14:textId="36236CEB" w:rsidR="00AF403D" w:rsidRDefault="00AF403D" w:rsidP="00AF403D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Should repowered facilities seeking 20-year contracts compete directly with new builds under the LT2 RFP? </w:t>
      </w:r>
      <w:r w:rsidR="00B84CB6"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Why or why not?</w:t>
      </w:r>
    </w:p>
    <w:p w14:paraId="67AE44FC" w14:textId="7B99E3E5" w:rsidR="004E082C" w:rsidRDefault="004E082C" w:rsidP="004E082C">
      <w:pPr>
        <w:pStyle w:val="BodyText"/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4E082C"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3A60CCBD" w14:textId="39CAB1E7" w:rsidR="00B84CB6" w:rsidRPr="004E082C" w:rsidRDefault="00B84CB6" w:rsidP="00B84CB6">
      <w:pPr>
        <w:pStyle w:val="BodyText"/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Alternatives to Repowering</w:t>
      </w:r>
    </w:p>
    <w:p w14:paraId="30D36F47" w14:textId="62A09870" w:rsidR="00B84CB6" w:rsidRPr="00B84CB6" w:rsidRDefault="00B84CB6" w:rsidP="004E082C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How likely is it that </w:t>
      </w:r>
      <w:proofErr w:type="gramStart"/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suppliers will</w:t>
      </w:r>
      <w:proofErr w:type="gramEnd"/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seek to</w:t>
      </w:r>
      <w:proofErr w:type="gramEnd"/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decommission facilities rather than repower for each respective technology?</w:t>
      </w:r>
    </w:p>
    <w:p w14:paraId="4306C14D" w14:textId="078DFB85" w:rsidR="00B84CB6" w:rsidRPr="00AB4ABF" w:rsidRDefault="00B84CB6" w:rsidP="004E082C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What does decommissioning look like for your technology?</w:t>
      </w:r>
    </w:p>
    <w:p w14:paraId="312E849E" w14:textId="4DADEEB3" w:rsidR="00AB4ABF" w:rsidRPr="004E082C" w:rsidRDefault="00AB4ABF" w:rsidP="00AB4ABF">
      <w:pPr>
        <w:pStyle w:val="BodyText"/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LT2 Window 2 Timing Considerations</w:t>
      </w:r>
    </w:p>
    <w:p w14:paraId="60A273BE" w14:textId="680FA160" w:rsidR="00AB4ABF" w:rsidRPr="00B84CB6" w:rsidRDefault="00AB4ABF" w:rsidP="00AB4ABF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lastRenderedPageBreak/>
        <w:t>What is the minimum viable period between revised deliverability guidance and LT2 Window 2 proposal submission?</w:t>
      </w:r>
    </w:p>
    <w:p w14:paraId="533F31C4" w14:textId="2B4CDC55" w:rsidR="00AB4ABF" w:rsidRPr="00B84CB6" w:rsidRDefault="00AB4ABF" w:rsidP="00AB4ABF">
      <w:pPr>
        <w:pStyle w:val="BodyText"/>
        <w:numPr>
          <w:ilvl w:val="0"/>
          <w:numId w:val="37"/>
        </w:numPr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Is there a general concern with the timing of municipal elections with respect to the Window 2 Proposal Submission Deadline?</w:t>
      </w:r>
    </w:p>
    <w:p w14:paraId="09F4D37B" w14:textId="77777777" w:rsidR="0095791F" w:rsidRPr="0095791F" w:rsidRDefault="0095791F" w:rsidP="007D713D">
      <w:pPr>
        <w:pStyle w:val="BodyText"/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2BA7188" w14:textId="4B2306F6" w:rsidR="00834980" w:rsidRPr="007D713D" w:rsidRDefault="00D12111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p w14:paraId="2B7D49D4" w14:textId="2443663E" w:rsidR="001F3091" w:rsidRPr="001F3091" w:rsidRDefault="001F3091" w:rsidP="001F3091">
      <w:pPr>
        <w:pStyle w:val="BodyText"/>
      </w:pPr>
    </w:p>
    <w:sectPr w:rsidR="001F3091" w:rsidRPr="001F3091"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C7B6" w14:textId="77777777" w:rsidR="00C46485" w:rsidRDefault="00C46485">
      <w:r>
        <w:separator/>
      </w:r>
    </w:p>
  </w:endnote>
  <w:endnote w:type="continuationSeparator" w:id="0">
    <w:p w14:paraId="66A07FC1" w14:textId="77777777" w:rsidR="00C46485" w:rsidRDefault="00C4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31EA80C0" w:rsidR="00834980" w:rsidRDefault="004E082C" w:rsidP="00682EBB">
    <w:pPr>
      <w:pStyle w:val="Footer"/>
      <w:tabs>
        <w:tab w:val="clear" w:pos="11333"/>
        <w:tab w:val="right" w:pos="9873"/>
      </w:tabs>
    </w:pPr>
    <w:r>
      <w:t>Repowering Existing Facilities</w:t>
    </w:r>
    <w:r w:rsidR="00682EBB" w:rsidRPr="003710FD">
      <w:t xml:space="preserve"> </w:t>
    </w:r>
    <w:r w:rsidR="00B5724B">
      <w:t>- Public</w:t>
    </w:r>
    <w:r w:rsidR="00682EBB">
      <w:ptab w:relativeTo="margin" w:alignment="center" w:leader="none"/>
    </w:r>
    <w:r w:rsidR="00682EBB">
      <w:ptab w:relativeTo="margin" w:alignment="right" w:leader="none"/>
    </w:r>
    <w:r w:rsidR="00682EBB" w:rsidRPr="00682EBB">
      <w:fldChar w:fldCharType="begin"/>
    </w:r>
    <w:r w:rsidR="00682EBB" w:rsidRPr="00682EBB">
      <w:instrText xml:space="preserve"> PAGE   \* MERGEFORMAT </w:instrText>
    </w:r>
    <w:r w:rsidR="00682EBB" w:rsidRPr="00682EBB">
      <w:fldChar w:fldCharType="separate"/>
    </w:r>
    <w:r w:rsidR="00682EBB" w:rsidRPr="00682EBB">
      <w:rPr>
        <w:noProof/>
      </w:rPr>
      <w:t>1</w:t>
    </w:r>
    <w:r w:rsidR="00682EBB" w:rsidRPr="00682E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9744" w14:textId="77777777" w:rsidR="00C46485" w:rsidRDefault="00C46485">
      <w:r>
        <w:separator/>
      </w:r>
    </w:p>
  </w:footnote>
  <w:footnote w:type="continuationSeparator" w:id="0">
    <w:p w14:paraId="4EAEF838" w14:textId="77777777" w:rsidR="00C46485" w:rsidRDefault="00C4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706"/>
    <w:multiLevelType w:val="multilevel"/>
    <w:tmpl w:val="85BAC7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95E33"/>
    <w:multiLevelType w:val="multilevel"/>
    <w:tmpl w:val="46CC6F70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E60D78"/>
    <w:multiLevelType w:val="hybridMultilevel"/>
    <w:tmpl w:val="BE320E8E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C0D0E"/>
    <w:multiLevelType w:val="multilevel"/>
    <w:tmpl w:val="1E8E98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20E99"/>
    <w:multiLevelType w:val="multilevel"/>
    <w:tmpl w:val="6914AD9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F7948"/>
    <w:multiLevelType w:val="multilevel"/>
    <w:tmpl w:val="0170837C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43EAD"/>
    <w:multiLevelType w:val="multilevel"/>
    <w:tmpl w:val="7058676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1968D7"/>
    <w:multiLevelType w:val="multilevel"/>
    <w:tmpl w:val="8DCC53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A1B13"/>
    <w:multiLevelType w:val="multilevel"/>
    <w:tmpl w:val="C6B8FF8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E756B"/>
    <w:multiLevelType w:val="multilevel"/>
    <w:tmpl w:val="B5E0DDD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F7251A"/>
    <w:multiLevelType w:val="multilevel"/>
    <w:tmpl w:val="2C08A6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BB660C"/>
    <w:multiLevelType w:val="multilevel"/>
    <w:tmpl w:val="A1E8DA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635820"/>
    <w:multiLevelType w:val="multilevel"/>
    <w:tmpl w:val="2206A6FE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C07060"/>
    <w:multiLevelType w:val="multilevel"/>
    <w:tmpl w:val="D2267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2919B8"/>
    <w:multiLevelType w:val="multilevel"/>
    <w:tmpl w:val="B4E8A1E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7E361B"/>
    <w:multiLevelType w:val="multilevel"/>
    <w:tmpl w:val="E17E54F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4E4E0A"/>
    <w:multiLevelType w:val="hybridMultilevel"/>
    <w:tmpl w:val="19181B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D6426"/>
    <w:multiLevelType w:val="multilevel"/>
    <w:tmpl w:val="8E20FA3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7E5718"/>
    <w:multiLevelType w:val="multilevel"/>
    <w:tmpl w:val="1BF0398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D022E9"/>
    <w:multiLevelType w:val="multilevel"/>
    <w:tmpl w:val="4E0EF1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D1124F"/>
    <w:multiLevelType w:val="multilevel"/>
    <w:tmpl w:val="3A1CA30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D84FA1"/>
    <w:multiLevelType w:val="multilevel"/>
    <w:tmpl w:val="EAEE2F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BA16AF"/>
    <w:multiLevelType w:val="multilevel"/>
    <w:tmpl w:val="CF0A5A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3F6D0C"/>
    <w:multiLevelType w:val="multilevel"/>
    <w:tmpl w:val="44C24B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705F51"/>
    <w:multiLevelType w:val="hybridMultilevel"/>
    <w:tmpl w:val="11124CD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52EF"/>
    <w:multiLevelType w:val="multilevel"/>
    <w:tmpl w:val="CC52216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84032B"/>
    <w:multiLevelType w:val="multilevel"/>
    <w:tmpl w:val="747066D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430B98"/>
    <w:multiLevelType w:val="multilevel"/>
    <w:tmpl w:val="E604B42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60776C"/>
    <w:multiLevelType w:val="hybridMultilevel"/>
    <w:tmpl w:val="94B67C2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763601"/>
    <w:multiLevelType w:val="multilevel"/>
    <w:tmpl w:val="201077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D341E9"/>
    <w:multiLevelType w:val="multilevel"/>
    <w:tmpl w:val="C302C5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0647A3"/>
    <w:multiLevelType w:val="multilevel"/>
    <w:tmpl w:val="D220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A80DE9"/>
    <w:multiLevelType w:val="multilevel"/>
    <w:tmpl w:val="C854CDC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63268F"/>
    <w:multiLevelType w:val="multilevel"/>
    <w:tmpl w:val="D6C4A6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39052">
    <w:abstractNumId w:val="4"/>
  </w:num>
  <w:num w:numId="2" w16cid:durableId="484516302">
    <w:abstractNumId w:val="2"/>
  </w:num>
  <w:num w:numId="3" w16cid:durableId="1321733198">
    <w:abstractNumId w:val="32"/>
  </w:num>
  <w:num w:numId="4" w16cid:durableId="616454351">
    <w:abstractNumId w:val="25"/>
  </w:num>
  <w:num w:numId="5" w16cid:durableId="1848010490">
    <w:abstractNumId w:val="29"/>
  </w:num>
  <w:num w:numId="6" w16cid:durableId="1951624289">
    <w:abstractNumId w:val="22"/>
  </w:num>
  <w:num w:numId="7" w16cid:durableId="1248736360">
    <w:abstractNumId w:val="6"/>
  </w:num>
  <w:num w:numId="8" w16cid:durableId="1000962155">
    <w:abstractNumId w:val="11"/>
  </w:num>
  <w:num w:numId="9" w16cid:durableId="1232160762">
    <w:abstractNumId w:val="1"/>
  </w:num>
  <w:num w:numId="10" w16cid:durableId="1850832765">
    <w:abstractNumId w:val="12"/>
  </w:num>
  <w:num w:numId="11" w16cid:durableId="627859834">
    <w:abstractNumId w:val="19"/>
  </w:num>
  <w:num w:numId="12" w16cid:durableId="2083553236">
    <w:abstractNumId w:val="27"/>
  </w:num>
  <w:num w:numId="13" w16cid:durableId="1317491196">
    <w:abstractNumId w:val="16"/>
  </w:num>
  <w:num w:numId="14" w16cid:durableId="537161099">
    <w:abstractNumId w:val="35"/>
  </w:num>
  <w:num w:numId="15" w16cid:durableId="40834099">
    <w:abstractNumId w:val="14"/>
  </w:num>
  <w:num w:numId="16" w16cid:durableId="1230263021">
    <w:abstractNumId w:val="7"/>
  </w:num>
  <w:num w:numId="17" w16cid:durableId="718014041">
    <w:abstractNumId w:val="34"/>
  </w:num>
  <w:num w:numId="18" w16cid:durableId="1386488886">
    <w:abstractNumId w:val="15"/>
  </w:num>
  <w:num w:numId="19" w16cid:durableId="895626303">
    <w:abstractNumId w:val="31"/>
  </w:num>
  <w:num w:numId="20" w16cid:durableId="1668752781">
    <w:abstractNumId w:val="28"/>
  </w:num>
  <w:num w:numId="21" w16cid:durableId="1973244424">
    <w:abstractNumId w:val="20"/>
  </w:num>
  <w:num w:numId="22" w16cid:durableId="573705305">
    <w:abstractNumId w:val="23"/>
  </w:num>
  <w:num w:numId="23" w16cid:durableId="1907570358">
    <w:abstractNumId w:val="3"/>
  </w:num>
  <w:num w:numId="24" w16cid:durableId="1901818775">
    <w:abstractNumId w:val="21"/>
  </w:num>
  <w:num w:numId="25" w16cid:durableId="1483548513">
    <w:abstractNumId w:val="33"/>
  </w:num>
  <w:num w:numId="26" w16cid:durableId="906768345">
    <w:abstractNumId w:val="13"/>
  </w:num>
  <w:num w:numId="27" w16cid:durableId="1543516113">
    <w:abstractNumId w:val="17"/>
  </w:num>
  <w:num w:numId="28" w16cid:durableId="178466886">
    <w:abstractNumId w:val="8"/>
  </w:num>
  <w:num w:numId="29" w16cid:durableId="408968115">
    <w:abstractNumId w:val="10"/>
  </w:num>
  <w:num w:numId="30" w16cid:durableId="1891334732">
    <w:abstractNumId w:val="9"/>
  </w:num>
  <w:num w:numId="31" w16cid:durableId="1355033973">
    <w:abstractNumId w:val="0"/>
  </w:num>
  <w:num w:numId="32" w16cid:durableId="1514026469">
    <w:abstractNumId w:val="30"/>
  </w:num>
  <w:num w:numId="33" w16cid:durableId="113334513">
    <w:abstractNumId w:val="5"/>
  </w:num>
  <w:num w:numId="34" w16cid:durableId="270824967">
    <w:abstractNumId w:val="36"/>
  </w:num>
  <w:num w:numId="35" w16cid:durableId="219051810">
    <w:abstractNumId w:val="24"/>
  </w:num>
  <w:num w:numId="36" w16cid:durableId="2092655078">
    <w:abstractNumId w:val="26"/>
  </w:num>
  <w:num w:numId="37" w16cid:durableId="7842707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096F18"/>
    <w:rsid w:val="000E23B8"/>
    <w:rsid w:val="00102B98"/>
    <w:rsid w:val="001763AA"/>
    <w:rsid w:val="001A6850"/>
    <w:rsid w:val="001B4AF2"/>
    <w:rsid w:val="001D2D3B"/>
    <w:rsid w:val="001F3091"/>
    <w:rsid w:val="00252E3B"/>
    <w:rsid w:val="002908CE"/>
    <w:rsid w:val="002917B4"/>
    <w:rsid w:val="002E0EFA"/>
    <w:rsid w:val="003020F1"/>
    <w:rsid w:val="003710FD"/>
    <w:rsid w:val="004608C7"/>
    <w:rsid w:val="00466957"/>
    <w:rsid w:val="00466B87"/>
    <w:rsid w:val="004D4FA8"/>
    <w:rsid w:val="004E082C"/>
    <w:rsid w:val="0052753C"/>
    <w:rsid w:val="005420E7"/>
    <w:rsid w:val="005635C8"/>
    <w:rsid w:val="00577993"/>
    <w:rsid w:val="00582CC1"/>
    <w:rsid w:val="005E7E77"/>
    <w:rsid w:val="00620EB3"/>
    <w:rsid w:val="00625985"/>
    <w:rsid w:val="00682EBB"/>
    <w:rsid w:val="00735E87"/>
    <w:rsid w:val="007D713D"/>
    <w:rsid w:val="00834980"/>
    <w:rsid w:val="008477BF"/>
    <w:rsid w:val="00857CB4"/>
    <w:rsid w:val="008614D3"/>
    <w:rsid w:val="00873674"/>
    <w:rsid w:val="0088353E"/>
    <w:rsid w:val="008C2772"/>
    <w:rsid w:val="009306A3"/>
    <w:rsid w:val="00956555"/>
    <w:rsid w:val="0095791F"/>
    <w:rsid w:val="009851A6"/>
    <w:rsid w:val="009E1BE3"/>
    <w:rsid w:val="00A03A04"/>
    <w:rsid w:val="00A22B56"/>
    <w:rsid w:val="00A2DC7A"/>
    <w:rsid w:val="00AB4ABF"/>
    <w:rsid w:val="00AF403D"/>
    <w:rsid w:val="00B5724B"/>
    <w:rsid w:val="00B61210"/>
    <w:rsid w:val="00B84CB6"/>
    <w:rsid w:val="00BA4EF9"/>
    <w:rsid w:val="00BD5FEE"/>
    <w:rsid w:val="00BD74AD"/>
    <w:rsid w:val="00BF54BB"/>
    <w:rsid w:val="00C00D91"/>
    <w:rsid w:val="00C46485"/>
    <w:rsid w:val="00CA33AB"/>
    <w:rsid w:val="00CB17F0"/>
    <w:rsid w:val="00D00916"/>
    <w:rsid w:val="00D12111"/>
    <w:rsid w:val="00D43313"/>
    <w:rsid w:val="00D47F0E"/>
    <w:rsid w:val="00D5373C"/>
    <w:rsid w:val="00E566E5"/>
    <w:rsid w:val="00EC27D0"/>
    <w:rsid w:val="00EF0FF9"/>
    <w:rsid w:val="00F02804"/>
    <w:rsid w:val="00F21557"/>
    <w:rsid w:val="00F265E2"/>
    <w:rsid w:val="00F51F38"/>
    <w:rsid w:val="00F91B98"/>
    <w:rsid w:val="00FB72C7"/>
    <w:rsid w:val="00FE0D1B"/>
    <w:rsid w:val="00FE5744"/>
    <w:rsid w:val="00FF6D6C"/>
    <w:rsid w:val="070CA3B3"/>
    <w:rsid w:val="0EDA0C7D"/>
    <w:rsid w:val="1347D4A2"/>
    <w:rsid w:val="1645E668"/>
    <w:rsid w:val="187BE759"/>
    <w:rsid w:val="1A071DAF"/>
    <w:rsid w:val="20A703EF"/>
    <w:rsid w:val="2356297B"/>
    <w:rsid w:val="2C181BE1"/>
    <w:rsid w:val="3148FEE9"/>
    <w:rsid w:val="396DF03B"/>
    <w:rsid w:val="3A954A6A"/>
    <w:rsid w:val="3E8EE0C1"/>
    <w:rsid w:val="41227255"/>
    <w:rsid w:val="42189ACC"/>
    <w:rsid w:val="44FE18FF"/>
    <w:rsid w:val="47C52616"/>
    <w:rsid w:val="4941FC36"/>
    <w:rsid w:val="4C57106D"/>
    <w:rsid w:val="4D383400"/>
    <w:rsid w:val="4F55BD03"/>
    <w:rsid w:val="51DD60D5"/>
    <w:rsid w:val="55EEE4F2"/>
    <w:rsid w:val="5D1B9D28"/>
    <w:rsid w:val="5EC62F46"/>
    <w:rsid w:val="638F66BA"/>
    <w:rsid w:val="6BBF1C18"/>
    <w:rsid w:val="6F1E3FE1"/>
    <w:rsid w:val="73361B24"/>
    <w:rsid w:val="74D2351C"/>
    <w:rsid w:val="74D45DF0"/>
    <w:rsid w:val="7CC2E0D4"/>
    <w:rsid w:val="7D5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55182674-779D-4949-867A-FE337FFF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character" w:customStyle="1" w:styleId="normaltextrun">
    <w:name w:val="normaltextrun"/>
    <w:basedOn w:val="DefaultParagraphFont"/>
    <w:rsid w:val="008477BF"/>
  </w:style>
  <w:style w:type="character" w:customStyle="1" w:styleId="eop">
    <w:name w:val="eop"/>
    <w:basedOn w:val="DefaultParagraphFont"/>
    <w:rsid w:val="00847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eso.ca/Sector-Participants/Engagement-Initiatives/Engagements/Long-Lead-Time-RF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0cd74e-3b3e-4c88-b9bf-46e98dc0e5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20A9ACA12C641857D659674397BF8" ma:contentTypeVersion="14" ma:contentTypeDescription="Create a new document." ma:contentTypeScope="" ma:versionID="94d529500d19ceb96ad8e38c25a219ef">
  <xsd:schema xmlns:xsd="http://www.w3.org/2001/XMLSchema" xmlns:xs="http://www.w3.org/2001/XMLSchema" xmlns:p="http://schemas.microsoft.com/office/2006/metadata/properties" xmlns:ns3="c492c25b-f44b-4563-bf66-686680884602" xmlns:ns4="fa0cd74e-3b3e-4c88-b9bf-46e98dc0e5b4" targetNamespace="http://schemas.microsoft.com/office/2006/metadata/properties" ma:root="true" ma:fieldsID="958413f1f67c54f996aa87d71a350112" ns3:_="" ns4:_="">
    <xsd:import namespace="c492c25b-f44b-4563-bf66-686680884602"/>
    <xsd:import namespace="fa0cd74e-3b3e-4c88-b9bf-46e98dc0e5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c25b-f44b-4563-bf66-6866808846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cd74e-3b3e-4c88-b9bf-46e98dc0e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fa0cd74e-3b3e-4c88-b9bf-46e98dc0e5b4"/>
  </ds:schemaRefs>
</ds:datastoreItem>
</file>

<file path=customXml/itemProps2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1F2CD-2452-455B-9A25-7B84BF2FC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c25b-f44b-4563-bf66-686680884602"/>
    <ds:schemaRef ds:uri="fa0cd74e-3b3e-4c88-b9bf-46e98dc0e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IESO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Zhaoda Qu</dc:creator>
  <cp:keywords/>
  <dc:description/>
  <cp:lastModifiedBy>Kath Sivakumar</cp:lastModifiedBy>
  <cp:revision>3</cp:revision>
  <dcterms:created xsi:type="dcterms:W3CDTF">2025-10-20T15:03:00Z</dcterms:created>
  <dcterms:modified xsi:type="dcterms:W3CDTF">2025-10-21T13:07:00Z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0x01010056820A9ACA12C641857D659674397BF8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