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F249AC" w:rsidP="006F582B">
      <w:pPr>
        <w:pStyle w:val="Heading2"/>
      </w:pPr>
      <w:r>
        <w:t xml:space="preserve">Long-Term 2 </w:t>
      </w:r>
      <w:r w:rsidR="00180BCA">
        <w:t xml:space="preserve">(LT2) </w:t>
      </w:r>
      <w:r>
        <w:t>RFP</w:t>
      </w:r>
      <w:r w:rsidR="32649693">
        <w:t xml:space="preserve"> </w:t>
      </w:r>
      <w:r w:rsidR="007A1A30">
        <w:t xml:space="preserve">– </w:t>
      </w:r>
      <w:r w:rsidR="007C6D7F">
        <w:t>February 15, 2024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="007C6D7F"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96E46">
        <w:rPr>
          <w:lang w:val="en-US"/>
        </w:rPr>
        <w:t xml:space="preserve">Long-Term RFP engagement page </w:t>
      </w:r>
      <w:r w:rsidRPr="00740728">
        <w:rPr>
          <w:lang w:val="en-US"/>
        </w:rPr>
        <w:t>unless otherwise requested by the sender.</w:t>
      </w:r>
      <w:r w:rsidR="00180BCA">
        <w:rPr>
          <w:lang w:val="en-US"/>
        </w:rPr>
        <w:t xml:space="preserve"> If you wish to provide confidential feedback, please mark “Confidential”.</w:t>
      </w:r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F249AC">
        <w:rPr>
          <w:rFonts w:eastAsiaTheme="minorEastAsia" w:cs="Tahoma"/>
          <w:szCs w:val="22"/>
          <w:lang w:val="en-US"/>
        </w:rPr>
        <w:t xml:space="preserve">LT2 RFP </w:t>
      </w:r>
      <w:r w:rsidR="007C6D7F">
        <w:rPr>
          <w:rFonts w:eastAsiaTheme="minorEastAsia" w:cs="Tahoma"/>
          <w:szCs w:val="22"/>
          <w:lang w:val="en-US"/>
        </w:rPr>
        <w:t xml:space="preserve">February 1, 2024,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>eedback from stakeholders on</w:t>
      </w:r>
      <w:r w:rsidR="00F249AC">
        <w:rPr>
          <w:rFonts w:eastAsiaTheme="minorEastAsia" w:cs="Tahoma"/>
          <w:szCs w:val="22"/>
          <w:lang w:val="en-US"/>
        </w:rPr>
        <w:t xml:space="preserve"> specific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F249AC">
        <w:rPr>
          <w:rFonts w:eastAsiaTheme="minorEastAsia" w:cs="Tahoma"/>
          <w:szCs w:val="22"/>
          <w:lang w:val="en-US"/>
        </w:rPr>
        <w:t>items discussed during the webinar.</w:t>
      </w:r>
      <w:r w:rsidRPr="00555588">
        <w:rPr>
          <w:rFonts w:eastAsiaTheme="minorEastAsia" w:cs="Tahoma"/>
          <w:szCs w:val="22"/>
          <w:lang w:val="en-US"/>
        </w:rPr>
        <w:t xml:space="preserve"> The webinar presentation and recording can be accessed from the </w:t>
      </w:r>
      <w:hyperlink r:id="rId11" w:history="1">
        <w:r w:rsidRPr="00EA2A7F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DC119F" w:rsidRDefault="00DC119F" w:rsidP="79E39C91">
      <w:pPr>
        <w:pStyle w:val="BodyText"/>
        <w:rPr>
          <w:rFonts w:eastAsiaTheme="minorEastAsia" w:cs="Tahoma"/>
          <w:b/>
          <w:bCs/>
          <w:lang w:val="en-US"/>
        </w:rPr>
      </w:pPr>
    </w:p>
    <w:p w:rsidR="006F582B" w:rsidRDefault="355706AD" w:rsidP="79E39C91">
      <w:pPr>
        <w:pStyle w:val="BodyText"/>
        <w:rPr>
          <w:rFonts w:eastAsiaTheme="minorEastAsia" w:cs="Tahoma"/>
          <w:lang w:val="en-US"/>
        </w:rPr>
      </w:pPr>
      <w:r w:rsidRPr="49076B03">
        <w:rPr>
          <w:rFonts w:eastAsiaTheme="minorEastAsia" w:cs="Tahoma"/>
          <w:b/>
          <w:bCs/>
          <w:lang w:val="en-US"/>
        </w:rPr>
        <w:t>Please submit feedback to</w:t>
      </w:r>
      <w:r w:rsidRPr="49076B03">
        <w:rPr>
          <w:rFonts w:eastAsiaTheme="minorEastAsia" w:cs="Tahoma"/>
          <w:lang w:val="en-US"/>
        </w:rPr>
        <w:t xml:space="preserve"> </w:t>
      </w:r>
      <w:hyperlink r:id="rId12" w:history="1">
        <w:r w:rsidR="007C6D7F" w:rsidRPr="0058589F">
          <w:rPr>
            <w:rStyle w:val="Hyperlink"/>
            <w:rFonts w:eastAsiaTheme="minorEastAsia" w:cs="Tahoma"/>
            <w:noProof w:val="0"/>
            <w:u w:color="8CD2F3" w:themeColor="background2"/>
            <w:lang w:val="en-US"/>
          </w:rPr>
          <w:t>engagement@ieso.ca</w:t>
        </w:r>
      </w:hyperlink>
      <w:r w:rsidRPr="49076B03">
        <w:rPr>
          <w:rFonts w:eastAsiaTheme="minorEastAsia" w:cs="Tahoma"/>
          <w:lang w:val="en-US"/>
        </w:rPr>
        <w:t xml:space="preserve"> by </w:t>
      </w:r>
      <w:r w:rsidR="007C6D7F">
        <w:rPr>
          <w:rFonts w:eastAsiaTheme="minorEastAsia" w:cs="Tahoma"/>
          <w:lang w:val="en-US"/>
        </w:rPr>
        <w:t>February</w:t>
      </w:r>
      <w:r w:rsidRPr="49076B03">
        <w:rPr>
          <w:rFonts w:eastAsiaTheme="minorEastAsia" w:cs="Tahoma"/>
          <w:lang w:val="en-US"/>
        </w:rPr>
        <w:t xml:space="preserve"> 15, 2024. </w:t>
      </w:r>
    </w:p>
    <w:p w:rsidR="00DC119F" w:rsidRDefault="00DC119F" w:rsidP="00EF1F49">
      <w:pPr>
        <w:pStyle w:val="Heading3"/>
        <w:rPr>
          <w:lang w:val="en-US"/>
        </w:rPr>
      </w:pPr>
      <w:bookmarkStart w:id="0" w:name="_Toc35868671"/>
    </w:p>
    <w:p w:rsidR="00DC119F" w:rsidRDefault="00DC119F" w:rsidP="00EF1F49">
      <w:pPr>
        <w:pStyle w:val="Heading3"/>
        <w:rPr>
          <w:lang w:val="en-US"/>
        </w:rPr>
      </w:pPr>
    </w:p>
    <w:p w:rsidR="00DC119F" w:rsidRDefault="00DC119F" w:rsidP="00EF1F49">
      <w:pPr>
        <w:pStyle w:val="Heading3"/>
        <w:rPr>
          <w:lang w:val="en-US"/>
        </w:rPr>
      </w:pPr>
    </w:p>
    <w:p w:rsidR="00DC119F" w:rsidRDefault="00DC119F" w:rsidP="00EF1F49">
      <w:pPr>
        <w:pStyle w:val="Heading3"/>
        <w:rPr>
          <w:lang w:val="en-US"/>
        </w:rPr>
      </w:pPr>
    </w:p>
    <w:p w:rsidR="00C04795" w:rsidRDefault="007C6D7F" w:rsidP="00EF1F49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Revenue Model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712A4F" w:rsidRDefault="00712A4F" w:rsidP="00DB2EE7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Do you have any additional </w:t>
            </w:r>
            <w:r w:rsidR="007C6D7F">
              <w:rPr>
                <w:lang w:val="en-CA"/>
              </w:rPr>
              <w:t xml:space="preserve">comments regarding </w:t>
            </w:r>
            <w:r>
              <w:rPr>
                <w:lang w:val="en-CA"/>
              </w:rPr>
              <w:t xml:space="preserve">the revenue model, particularly with regards </w:t>
            </w:r>
            <w:r w:rsidR="00DB2EE7">
              <w:rPr>
                <w:lang w:val="en-CA"/>
              </w:rPr>
              <w:t>to the following: D</w:t>
            </w:r>
            <w:r>
              <w:rPr>
                <w:lang w:val="en-CA"/>
              </w:rPr>
              <w:t>eeming energy market revenues based on real-time locational marginal prices</w:t>
            </w:r>
            <w:r w:rsidR="00CC5E3F">
              <w:rPr>
                <w:lang w:val="en-CA"/>
              </w:rPr>
              <w:t xml:space="preserve"> (LMP)</w:t>
            </w:r>
            <w:r>
              <w:rPr>
                <w:lang w:val="en-CA"/>
              </w:rPr>
              <w:t xml:space="preserve">, as opposed to the IESO’s recommendation of basing this on the day-ahead </w:t>
            </w:r>
            <w:r w:rsidR="00CC5E3F">
              <w:rPr>
                <w:lang w:val="en-CA"/>
              </w:rPr>
              <w:t xml:space="preserve">LMP. (Slides 19-21) </w:t>
            </w:r>
          </w:p>
          <w:p w:rsidR="00CC5E3F" w:rsidRDefault="00CC5E3F" w:rsidP="00DB2EE7">
            <w:pPr>
              <w:pStyle w:val="TableNumeralsLeftAlignment"/>
              <w:numPr>
                <w:ilvl w:val="0"/>
                <w:numId w:val="50"/>
              </w:numPr>
              <w:rPr>
                <w:lang w:val="en-CA"/>
              </w:rPr>
            </w:pPr>
            <w:r>
              <w:rPr>
                <w:lang w:val="en-CA"/>
              </w:rPr>
              <w:t>The optionality of using either a simple average day-ahead price or weighted average LMP, with the latter including hours where the resource was scheduled day-ahead in a given month. (Slides 22-23)</w:t>
            </w:r>
          </w:p>
          <w:p w:rsidR="004200EA" w:rsidRPr="00F249AC" w:rsidRDefault="00CC5E3F" w:rsidP="00DB2EE7">
            <w:pPr>
              <w:pStyle w:val="TableNumeralsLeftAlignment"/>
              <w:numPr>
                <w:ilvl w:val="0"/>
                <w:numId w:val="50"/>
              </w:numPr>
              <w:rPr>
                <w:lang w:val="en-CA"/>
              </w:rPr>
            </w:pPr>
            <w:r>
              <w:rPr>
                <w:lang w:val="en-CA"/>
              </w:rPr>
              <w:t xml:space="preserve">Including monthly production factors that on average equate to the annual production factor, in order to further account for seasonality. (Slides 24-26)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50396E">
            <w:pPr>
              <w:pStyle w:val="TableNumeralsLeftAlignment"/>
            </w:pPr>
          </w:p>
        </w:tc>
      </w:tr>
    </w:tbl>
    <w:p w:rsidR="0082016A" w:rsidRDefault="0082016A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</w:p>
    <w:p w:rsidR="00050EB5" w:rsidRDefault="007C6D7F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DER</w:t>
      </w:r>
      <w:r w:rsidR="00517C7F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17C7F" w:rsidRPr="006B7128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B106BB" w:rsidRPr="003A3754" w:rsidRDefault="00B106BB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B106BB" w:rsidRPr="006B7128" w:rsidRDefault="00B106BB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17C7F" w:rsidRPr="006B7128" w:rsidTr="49076B03">
        <w:trPr>
          <w:cantSplit/>
          <w:trHeight w:val="1318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B106BB" w:rsidRPr="00B106BB" w:rsidRDefault="00517C7F" w:rsidP="00517C7F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Do you have any comments regarding eligibility requirements for DERs of other general comments?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B106BB" w:rsidRPr="00D07824" w:rsidRDefault="00B106BB" w:rsidP="0050396E">
            <w:pPr>
              <w:pStyle w:val="TableNumeralsLeftAlignment"/>
            </w:pPr>
          </w:p>
        </w:tc>
      </w:tr>
    </w:tbl>
    <w:p w:rsidR="007C6D7F" w:rsidRDefault="007C6D7F">
      <w:pPr>
        <w:pStyle w:val="Default"/>
      </w:pPr>
    </w:p>
    <w:p w:rsidR="007C6D7F" w:rsidRPr="007C6D7F" w:rsidRDefault="00517C7F" w:rsidP="007C6D7F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Capacity R</w:t>
      </w:r>
      <w:r w:rsidR="007C6D7F" w:rsidRPr="007C6D7F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106BB" w:rsidRPr="006B7128" w:rsidTr="79E39C9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B106BB" w:rsidRPr="003A3754" w:rsidRDefault="00B106BB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B106BB" w:rsidRPr="006B7128" w:rsidRDefault="00B106BB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106BB" w:rsidRPr="006B7128" w:rsidTr="79E39C9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B106BB" w:rsidRPr="00B106BB" w:rsidRDefault="00517C7F" w:rsidP="00CC5E3F">
            <w:pPr>
              <w:pStyle w:val="BodyText"/>
            </w:pPr>
            <w:r>
              <w:t>Do you have any comments regarding considerations for acquiring additional capacity resources</w:t>
            </w:r>
            <w:r w:rsidR="00CC5E3F">
              <w:t xml:space="preserve">, and utilizing a multi-stream approach (energy and capacity streams)?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B106BB" w:rsidRPr="006D7540" w:rsidRDefault="00B106BB" w:rsidP="0050396E">
            <w:pPr>
              <w:pStyle w:val="TableNumeralsLeftAlignment"/>
            </w:pPr>
            <w:bookmarkStart w:id="1" w:name="_GoBack"/>
            <w:bookmarkEnd w:id="1"/>
          </w:p>
        </w:tc>
      </w:tr>
    </w:tbl>
    <w:p w:rsidR="007C6D7F" w:rsidRPr="007C6D7F" w:rsidRDefault="007C6D7F" w:rsidP="007C6D7F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</w:p>
    <w:p w:rsidR="007C6D7F" w:rsidRPr="007C6D7F" w:rsidRDefault="00517C7F" w:rsidP="007C6D7F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LT2</w:t>
      </w:r>
      <w:r w:rsidR="007C6D7F" w:rsidRPr="007C6D7F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 xml:space="preserve"> Deliverability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9039A" w:rsidRPr="006B7128" w:rsidTr="00D224B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59039A" w:rsidRPr="003A3754" w:rsidRDefault="0059039A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9039A" w:rsidRPr="006B7128" w:rsidRDefault="0059039A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9039A" w:rsidRPr="006B7128" w:rsidTr="00D224B2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9039A" w:rsidRPr="002166C4" w:rsidRDefault="00517C7F" w:rsidP="0050396E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Do you have any comments on early deliverability data and evaluation stage deliverability?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9039A" w:rsidRPr="006D7540" w:rsidRDefault="0059039A" w:rsidP="0050396E">
            <w:pPr>
              <w:pStyle w:val="TableNumeralsLeftAlignment"/>
            </w:pPr>
          </w:p>
        </w:tc>
      </w:tr>
    </w:tbl>
    <w:p w:rsidR="0059039A" w:rsidRDefault="0059039A" w:rsidP="00050EB5">
      <w:pPr>
        <w:pStyle w:val="BodyText"/>
      </w:pPr>
    </w:p>
    <w:p w:rsidR="007C6D7F" w:rsidRPr="007C6D7F" w:rsidRDefault="007C6D7F" w:rsidP="007C6D7F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 w:rsidRPr="007C6D7F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 xml:space="preserve">Repowering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018"/>
        <w:gridCol w:w="5875"/>
      </w:tblGrid>
      <w:tr w:rsidR="26132C44" w:rsidTr="00715389">
        <w:trPr>
          <w:trHeight w:val="144"/>
        </w:trPr>
        <w:tc>
          <w:tcPr>
            <w:tcW w:w="4018" w:type="dxa"/>
            <w:tcMar>
              <w:top w:w="0" w:type="dxa"/>
              <w:bottom w:w="130" w:type="dxa"/>
            </w:tcMar>
            <w:vAlign w:val="bottom"/>
          </w:tcPr>
          <w:p w:rsidR="26132C44" w:rsidRDefault="26132C44" w:rsidP="26132C44">
            <w:pPr>
              <w:pStyle w:val="TableHeaderLeftAlignment"/>
            </w:pPr>
            <w:r>
              <w:t>Topic</w:t>
            </w:r>
          </w:p>
        </w:tc>
        <w:tc>
          <w:tcPr>
            <w:tcW w:w="587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26132C44" w:rsidRDefault="26132C44" w:rsidP="26132C4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26132C44" w:rsidTr="00715389">
        <w:trPr>
          <w:trHeight w:val="144"/>
        </w:trPr>
        <w:tc>
          <w:tcPr>
            <w:tcW w:w="4018" w:type="dxa"/>
            <w:shd w:val="clear" w:color="auto" w:fill="auto"/>
            <w:tcMar>
              <w:top w:w="130" w:type="dxa"/>
              <w:bottom w:w="130" w:type="dxa"/>
            </w:tcMar>
          </w:tcPr>
          <w:p w:rsidR="26132C44" w:rsidRDefault="00517C7F" w:rsidP="0050396E">
            <w:pPr>
              <w:pStyle w:val="TableNumeralsLeftAlignment"/>
            </w:pPr>
            <w:r>
              <w:t xml:space="preserve">Do you have any comments around repowering participation? </w:t>
            </w:r>
          </w:p>
        </w:tc>
        <w:tc>
          <w:tcPr>
            <w:tcW w:w="587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7C5B28" w:rsidRDefault="007C5B28" w:rsidP="0050396E">
            <w:pPr>
              <w:pStyle w:val="TableNumeralsLeftAlignment"/>
            </w:pPr>
          </w:p>
        </w:tc>
      </w:tr>
    </w:tbl>
    <w:p w:rsidR="007C6D7F" w:rsidRPr="007C6D7F" w:rsidRDefault="00180BCA" w:rsidP="007C6D7F">
      <w:pPr>
        <w:pStyle w:val="Heading3"/>
      </w:pPr>
      <w:r>
        <w:t>Long L</w:t>
      </w:r>
      <w:r w:rsidR="00517C7F">
        <w:t>ead-</w:t>
      </w:r>
      <w:r>
        <w:t>Time R</w:t>
      </w:r>
      <w:r w:rsidR="007C6D7F" w:rsidRPr="007C6D7F">
        <w:t>esources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018"/>
        <w:gridCol w:w="5875"/>
      </w:tblGrid>
      <w:tr w:rsidR="00517C7F" w:rsidTr="006D600B">
        <w:trPr>
          <w:trHeight w:val="144"/>
        </w:trPr>
        <w:tc>
          <w:tcPr>
            <w:tcW w:w="4018" w:type="dxa"/>
            <w:tcMar>
              <w:top w:w="0" w:type="dxa"/>
              <w:bottom w:w="130" w:type="dxa"/>
            </w:tcMar>
            <w:vAlign w:val="bottom"/>
          </w:tcPr>
          <w:p w:rsidR="00517C7F" w:rsidRDefault="00517C7F" w:rsidP="006D600B">
            <w:pPr>
              <w:pStyle w:val="TableHeaderLeftAlignment"/>
            </w:pPr>
            <w:r>
              <w:t>Topic</w:t>
            </w:r>
          </w:p>
        </w:tc>
        <w:tc>
          <w:tcPr>
            <w:tcW w:w="587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17C7F" w:rsidRDefault="00517C7F" w:rsidP="006D600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17C7F" w:rsidTr="006D600B">
        <w:trPr>
          <w:trHeight w:val="144"/>
        </w:trPr>
        <w:tc>
          <w:tcPr>
            <w:tcW w:w="4018" w:type="dxa"/>
            <w:shd w:val="clear" w:color="auto" w:fill="auto"/>
            <w:tcMar>
              <w:top w:w="130" w:type="dxa"/>
              <w:bottom w:w="130" w:type="dxa"/>
            </w:tcMar>
          </w:tcPr>
          <w:p w:rsidR="00517C7F" w:rsidRDefault="00517C7F" w:rsidP="006D600B">
            <w:pPr>
              <w:pStyle w:val="TableNumeralsLeftAlignment"/>
            </w:pPr>
            <w:r>
              <w:t xml:space="preserve">Do you have any comments on </w:t>
            </w:r>
            <w:r w:rsidR="00180BCA">
              <w:t xml:space="preserve">enabling long-lead time resources? </w:t>
            </w:r>
          </w:p>
        </w:tc>
        <w:tc>
          <w:tcPr>
            <w:tcW w:w="587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17C7F" w:rsidRDefault="00517C7F" w:rsidP="006D600B">
            <w:pPr>
              <w:pStyle w:val="TableNumeralsLeftAlignment"/>
            </w:pPr>
          </w:p>
        </w:tc>
      </w:tr>
    </w:tbl>
    <w:p w:rsidR="007C6D7F" w:rsidRDefault="007C6D7F" w:rsidP="26132C44">
      <w:pPr>
        <w:pStyle w:val="BodyText"/>
      </w:pPr>
    </w:p>
    <w:p w:rsidR="00D2041D" w:rsidRDefault="00D2041D" w:rsidP="00D2041D">
      <w:pPr>
        <w:pStyle w:val="Heading3"/>
      </w:pPr>
      <w:r>
        <w:t>General Comments/Feedback</w:t>
      </w:r>
      <w:bookmarkEnd w:id="0"/>
    </w:p>
    <w:sectPr w:rsidR="00D2041D" w:rsidSect="0082016A">
      <w:footerReference w:type="default" r:id="rId13"/>
      <w:footerReference w:type="first" r:id="rId14"/>
      <w:pgSz w:w="12240" w:h="15840"/>
      <w:pgMar w:top="720" w:right="907" w:bottom="1440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5F" w:rsidRDefault="00F32B5F" w:rsidP="00F83314">
      <w:r>
        <w:separator/>
      </w:r>
    </w:p>
    <w:p w:rsidR="00F32B5F" w:rsidRDefault="00F32B5F"/>
  </w:endnote>
  <w:endnote w:type="continuationSeparator" w:id="0">
    <w:p w:rsidR="00F32B5F" w:rsidRDefault="00F32B5F" w:rsidP="00F83314">
      <w:r>
        <w:continuationSeparator/>
      </w:r>
    </w:p>
    <w:p w:rsidR="00F32B5F" w:rsidRDefault="00F32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016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2166C4" w:rsidP="00871E07">
    <w:pPr>
      <w:pStyle w:val="Footer"/>
      <w:ind w:right="360"/>
    </w:pPr>
    <w:r>
      <w:t>Long-Term 2 RFP</w:t>
    </w:r>
    <w:r w:rsidR="00FC7434">
      <w:t xml:space="preserve">, </w:t>
    </w:r>
    <w:r w:rsidR="007C6D7F">
      <w:t>01</w:t>
    </w:r>
    <w:r w:rsidR="00FC7434">
      <w:t>/</w:t>
    </w:r>
    <w:r w:rsidR="007C6D7F">
      <w:t>February</w:t>
    </w:r>
    <w:r w:rsidR="00FC7434">
      <w:t>/</w:t>
    </w:r>
    <w:r>
      <w:t>202</w:t>
    </w:r>
    <w:r w:rsidR="007C6D7F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7" name="Picture 7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32B5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5F" w:rsidRDefault="00F32B5F">
      <w:r>
        <w:separator/>
      </w:r>
    </w:p>
  </w:footnote>
  <w:footnote w:type="continuationSeparator" w:id="0">
    <w:p w:rsidR="00F32B5F" w:rsidRDefault="00F32B5F" w:rsidP="00F83314">
      <w:r>
        <w:continuationSeparator/>
      </w:r>
    </w:p>
    <w:p w:rsidR="00F32B5F" w:rsidRDefault="00F32B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5F1C5A"/>
    <w:multiLevelType w:val="hybridMultilevel"/>
    <w:tmpl w:val="7CD2F606"/>
    <w:lvl w:ilvl="0" w:tplc="F1F4BB6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64B81"/>
    <w:multiLevelType w:val="hybridMultilevel"/>
    <w:tmpl w:val="971EFFF2"/>
    <w:lvl w:ilvl="0" w:tplc="7C98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E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6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E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733EA4"/>
    <w:multiLevelType w:val="hybridMultilevel"/>
    <w:tmpl w:val="CC7E88E4"/>
    <w:lvl w:ilvl="0" w:tplc="1454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0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E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A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4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AF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C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4E028A"/>
    <w:multiLevelType w:val="hybridMultilevel"/>
    <w:tmpl w:val="51F0D8B2"/>
    <w:lvl w:ilvl="0" w:tplc="D9D2E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2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48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63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2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E93D2E"/>
    <w:multiLevelType w:val="hybridMultilevel"/>
    <w:tmpl w:val="9346593A"/>
    <w:lvl w:ilvl="0" w:tplc="8708C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6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4D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4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4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A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6D65EA"/>
    <w:multiLevelType w:val="hybridMultilevel"/>
    <w:tmpl w:val="33E42786"/>
    <w:lvl w:ilvl="0" w:tplc="ACE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CF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C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9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0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055516"/>
    <w:multiLevelType w:val="hybridMultilevel"/>
    <w:tmpl w:val="D55A846E"/>
    <w:lvl w:ilvl="0" w:tplc="11D2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4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8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0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4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6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475019"/>
    <w:multiLevelType w:val="hybridMultilevel"/>
    <w:tmpl w:val="5838BDB2"/>
    <w:lvl w:ilvl="0" w:tplc="3BD2449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A270DAA"/>
    <w:multiLevelType w:val="hybridMultilevel"/>
    <w:tmpl w:val="D458F668"/>
    <w:lvl w:ilvl="0" w:tplc="8A12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D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2D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D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361778"/>
    <w:multiLevelType w:val="multilevel"/>
    <w:tmpl w:val="0409001D"/>
    <w:numStyleLink w:val="1ai"/>
  </w:abstractNum>
  <w:abstractNum w:abstractNumId="2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5861CAB"/>
    <w:multiLevelType w:val="hybridMultilevel"/>
    <w:tmpl w:val="EDD6E5BA"/>
    <w:lvl w:ilvl="0" w:tplc="A770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0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6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1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20AF"/>
    <w:multiLevelType w:val="hybridMultilevel"/>
    <w:tmpl w:val="05222BC2"/>
    <w:lvl w:ilvl="0" w:tplc="FB6C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8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A5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3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6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AE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BD6FBB"/>
    <w:multiLevelType w:val="hybridMultilevel"/>
    <w:tmpl w:val="63C2A99E"/>
    <w:lvl w:ilvl="0" w:tplc="8852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B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4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AA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A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686105"/>
    <w:multiLevelType w:val="hybridMultilevel"/>
    <w:tmpl w:val="A1FE10FE"/>
    <w:lvl w:ilvl="0" w:tplc="5E20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E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42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C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A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C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46"/>
  </w:num>
  <w:num w:numId="12">
    <w:abstractNumId w:val="21"/>
  </w:num>
  <w:num w:numId="13">
    <w:abstractNumId w:val="29"/>
  </w:num>
  <w:num w:numId="14">
    <w:abstractNumId w:val="31"/>
  </w:num>
  <w:num w:numId="15">
    <w:abstractNumId w:val="28"/>
  </w:num>
  <w:num w:numId="16">
    <w:abstractNumId w:val="34"/>
  </w:num>
  <w:num w:numId="17">
    <w:abstractNumId w:val="13"/>
  </w:num>
  <w:num w:numId="18">
    <w:abstractNumId w:val="37"/>
  </w:num>
  <w:num w:numId="19">
    <w:abstractNumId w:val="30"/>
  </w:num>
  <w:num w:numId="20">
    <w:abstractNumId w:val="38"/>
  </w:num>
  <w:num w:numId="21">
    <w:abstractNumId w:val="36"/>
  </w:num>
  <w:num w:numId="22">
    <w:abstractNumId w:val="41"/>
  </w:num>
  <w:num w:numId="23">
    <w:abstractNumId w:val="23"/>
  </w:num>
  <w:num w:numId="24">
    <w:abstractNumId w:val="26"/>
  </w:num>
  <w:num w:numId="25">
    <w:abstractNumId w:val="45"/>
  </w:num>
  <w:num w:numId="26">
    <w:abstractNumId w:val="20"/>
  </w:num>
  <w:num w:numId="27">
    <w:abstractNumId w:val="47"/>
  </w:num>
  <w:num w:numId="28">
    <w:abstractNumId w:val="24"/>
  </w:num>
  <w:num w:numId="29">
    <w:abstractNumId w:val="44"/>
  </w:num>
  <w:num w:numId="30">
    <w:abstractNumId w:val="22"/>
  </w:num>
  <w:num w:numId="31">
    <w:abstractNumId w:val="32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7"/>
  </w:num>
  <w:num w:numId="39">
    <w:abstractNumId w:val="16"/>
  </w:num>
  <w:num w:numId="40">
    <w:abstractNumId w:val="12"/>
  </w:num>
  <w:num w:numId="41">
    <w:abstractNumId w:val="35"/>
  </w:num>
  <w:num w:numId="42">
    <w:abstractNumId w:val="43"/>
  </w:num>
  <w:num w:numId="43">
    <w:abstractNumId w:val="19"/>
  </w:num>
  <w:num w:numId="44">
    <w:abstractNumId w:val="42"/>
  </w:num>
  <w:num w:numId="45">
    <w:abstractNumId w:val="17"/>
  </w:num>
  <w:num w:numId="46">
    <w:abstractNumId w:val="10"/>
  </w:num>
  <w:num w:numId="47">
    <w:abstractNumId w:val="15"/>
  </w:num>
  <w:num w:numId="48">
    <w:abstractNumId w:val="39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A56"/>
    <w:rsid w:val="00027E00"/>
    <w:rsid w:val="00031023"/>
    <w:rsid w:val="00032FAC"/>
    <w:rsid w:val="0003386C"/>
    <w:rsid w:val="000424C0"/>
    <w:rsid w:val="00043811"/>
    <w:rsid w:val="00050A11"/>
    <w:rsid w:val="00050EB5"/>
    <w:rsid w:val="00051AA8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0334"/>
    <w:rsid w:val="000965B7"/>
    <w:rsid w:val="000B0E48"/>
    <w:rsid w:val="000B0F9D"/>
    <w:rsid w:val="000B6A46"/>
    <w:rsid w:val="000C06F7"/>
    <w:rsid w:val="000C382A"/>
    <w:rsid w:val="000C4332"/>
    <w:rsid w:val="000E384F"/>
    <w:rsid w:val="000F12F2"/>
    <w:rsid w:val="000F4509"/>
    <w:rsid w:val="000F55DA"/>
    <w:rsid w:val="00112120"/>
    <w:rsid w:val="00122D98"/>
    <w:rsid w:val="00123B6F"/>
    <w:rsid w:val="00132A1A"/>
    <w:rsid w:val="00134223"/>
    <w:rsid w:val="00164724"/>
    <w:rsid w:val="00165BF5"/>
    <w:rsid w:val="001708DC"/>
    <w:rsid w:val="00180BCA"/>
    <w:rsid w:val="00180C5F"/>
    <w:rsid w:val="00191D1F"/>
    <w:rsid w:val="00197388"/>
    <w:rsid w:val="00197EE4"/>
    <w:rsid w:val="001B31FB"/>
    <w:rsid w:val="001B5068"/>
    <w:rsid w:val="001C122B"/>
    <w:rsid w:val="001E501C"/>
    <w:rsid w:val="001E649E"/>
    <w:rsid w:val="001F21B1"/>
    <w:rsid w:val="002040D1"/>
    <w:rsid w:val="00206BC2"/>
    <w:rsid w:val="00212BA4"/>
    <w:rsid w:val="002166C4"/>
    <w:rsid w:val="002206A7"/>
    <w:rsid w:val="002273F3"/>
    <w:rsid w:val="00230E09"/>
    <w:rsid w:val="00235EFD"/>
    <w:rsid w:val="002364D6"/>
    <w:rsid w:val="00236F88"/>
    <w:rsid w:val="00245326"/>
    <w:rsid w:val="002529F2"/>
    <w:rsid w:val="00252FA6"/>
    <w:rsid w:val="00255139"/>
    <w:rsid w:val="0025740E"/>
    <w:rsid w:val="0026132B"/>
    <w:rsid w:val="00271D4B"/>
    <w:rsid w:val="00272F96"/>
    <w:rsid w:val="002835B9"/>
    <w:rsid w:val="0029171F"/>
    <w:rsid w:val="00297456"/>
    <w:rsid w:val="002A17AA"/>
    <w:rsid w:val="002A4F50"/>
    <w:rsid w:val="002A59A9"/>
    <w:rsid w:val="002C11A0"/>
    <w:rsid w:val="002C1201"/>
    <w:rsid w:val="002D3238"/>
    <w:rsid w:val="002D4EB9"/>
    <w:rsid w:val="002D7A58"/>
    <w:rsid w:val="002E4651"/>
    <w:rsid w:val="002F13B4"/>
    <w:rsid w:val="002F3357"/>
    <w:rsid w:val="00306409"/>
    <w:rsid w:val="00306932"/>
    <w:rsid w:val="00313BFA"/>
    <w:rsid w:val="00314D1C"/>
    <w:rsid w:val="0032041D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448F4"/>
    <w:rsid w:val="003539B7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7E30"/>
    <w:rsid w:val="003B0A28"/>
    <w:rsid w:val="003C41F2"/>
    <w:rsid w:val="003C7EEB"/>
    <w:rsid w:val="003D0BE4"/>
    <w:rsid w:val="003D1E9A"/>
    <w:rsid w:val="003D398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311"/>
    <w:rsid w:val="00424BA0"/>
    <w:rsid w:val="00426D11"/>
    <w:rsid w:val="0044645D"/>
    <w:rsid w:val="00456376"/>
    <w:rsid w:val="00457D18"/>
    <w:rsid w:val="00482219"/>
    <w:rsid w:val="00497849"/>
    <w:rsid w:val="004A7352"/>
    <w:rsid w:val="004B6ABA"/>
    <w:rsid w:val="004C1610"/>
    <w:rsid w:val="004D5A69"/>
    <w:rsid w:val="004D7C5F"/>
    <w:rsid w:val="004E0F5C"/>
    <w:rsid w:val="004F115E"/>
    <w:rsid w:val="00502752"/>
    <w:rsid w:val="0050396E"/>
    <w:rsid w:val="005066CE"/>
    <w:rsid w:val="00517C7F"/>
    <w:rsid w:val="005250E4"/>
    <w:rsid w:val="0053669B"/>
    <w:rsid w:val="00536D37"/>
    <w:rsid w:val="00540C81"/>
    <w:rsid w:val="00544992"/>
    <w:rsid w:val="00546F8B"/>
    <w:rsid w:val="00555588"/>
    <w:rsid w:val="00560680"/>
    <w:rsid w:val="00570A60"/>
    <w:rsid w:val="00571735"/>
    <w:rsid w:val="0057315A"/>
    <w:rsid w:val="00573F2B"/>
    <w:rsid w:val="0057575C"/>
    <w:rsid w:val="00575FBB"/>
    <w:rsid w:val="00581BCC"/>
    <w:rsid w:val="00585866"/>
    <w:rsid w:val="00586D7F"/>
    <w:rsid w:val="0059039A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6198"/>
    <w:rsid w:val="006635D9"/>
    <w:rsid w:val="0066614A"/>
    <w:rsid w:val="00667A9D"/>
    <w:rsid w:val="0067615F"/>
    <w:rsid w:val="00676421"/>
    <w:rsid w:val="00683AC9"/>
    <w:rsid w:val="006A5E35"/>
    <w:rsid w:val="006B1309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2A4F"/>
    <w:rsid w:val="00715389"/>
    <w:rsid w:val="0071682C"/>
    <w:rsid w:val="007172CD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764D3"/>
    <w:rsid w:val="00781339"/>
    <w:rsid w:val="00787A1A"/>
    <w:rsid w:val="00792720"/>
    <w:rsid w:val="0079347E"/>
    <w:rsid w:val="00793675"/>
    <w:rsid w:val="007A0FA5"/>
    <w:rsid w:val="007A1A30"/>
    <w:rsid w:val="007A6EC7"/>
    <w:rsid w:val="007A7501"/>
    <w:rsid w:val="007B4815"/>
    <w:rsid w:val="007B538A"/>
    <w:rsid w:val="007C5B28"/>
    <w:rsid w:val="007C6D7F"/>
    <w:rsid w:val="007D42F2"/>
    <w:rsid w:val="007D7593"/>
    <w:rsid w:val="007E2315"/>
    <w:rsid w:val="007E673E"/>
    <w:rsid w:val="007F115E"/>
    <w:rsid w:val="007F752B"/>
    <w:rsid w:val="00803BF6"/>
    <w:rsid w:val="00811151"/>
    <w:rsid w:val="0082016A"/>
    <w:rsid w:val="00821FD8"/>
    <w:rsid w:val="00823D2B"/>
    <w:rsid w:val="008270A2"/>
    <w:rsid w:val="00831390"/>
    <w:rsid w:val="00836072"/>
    <w:rsid w:val="00855324"/>
    <w:rsid w:val="00862CA0"/>
    <w:rsid w:val="008676C2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31D0"/>
    <w:rsid w:val="008D6894"/>
    <w:rsid w:val="008E5E99"/>
    <w:rsid w:val="008F1EB5"/>
    <w:rsid w:val="008F5089"/>
    <w:rsid w:val="008F73C6"/>
    <w:rsid w:val="008F7605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A28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2875"/>
    <w:rsid w:val="00A047A0"/>
    <w:rsid w:val="00A12326"/>
    <w:rsid w:val="00A315B3"/>
    <w:rsid w:val="00A4096B"/>
    <w:rsid w:val="00A410B5"/>
    <w:rsid w:val="00A54D55"/>
    <w:rsid w:val="00A55176"/>
    <w:rsid w:val="00A57C08"/>
    <w:rsid w:val="00A60FEE"/>
    <w:rsid w:val="00A677AB"/>
    <w:rsid w:val="00A7072C"/>
    <w:rsid w:val="00A71078"/>
    <w:rsid w:val="00A71F50"/>
    <w:rsid w:val="00A804BB"/>
    <w:rsid w:val="00A86619"/>
    <w:rsid w:val="00A96E46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6BB"/>
    <w:rsid w:val="00B130D0"/>
    <w:rsid w:val="00B13744"/>
    <w:rsid w:val="00B141CC"/>
    <w:rsid w:val="00B15B1B"/>
    <w:rsid w:val="00B27004"/>
    <w:rsid w:val="00B33004"/>
    <w:rsid w:val="00B41AA9"/>
    <w:rsid w:val="00B44D93"/>
    <w:rsid w:val="00B45BE4"/>
    <w:rsid w:val="00B54E3D"/>
    <w:rsid w:val="00B55305"/>
    <w:rsid w:val="00B71B63"/>
    <w:rsid w:val="00B80ED0"/>
    <w:rsid w:val="00B81E1D"/>
    <w:rsid w:val="00B94249"/>
    <w:rsid w:val="00BA7FD7"/>
    <w:rsid w:val="00BC1CD2"/>
    <w:rsid w:val="00BC21BD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4B93"/>
    <w:rsid w:val="00C65893"/>
    <w:rsid w:val="00C7071C"/>
    <w:rsid w:val="00C76B1E"/>
    <w:rsid w:val="00CA56A3"/>
    <w:rsid w:val="00CB0029"/>
    <w:rsid w:val="00CB05BA"/>
    <w:rsid w:val="00CC4799"/>
    <w:rsid w:val="00CC5376"/>
    <w:rsid w:val="00CC5E3F"/>
    <w:rsid w:val="00CD06BE"/>
    <w:rsid w:val="00CD26E7"/>
    <w:rsid w:val="00CE0767"/>
    <w:rsid w:val="00CE3824"/>
    <w:rsid w:val="00CE3D01"/>
    <w:rsid w:val="00CF5113"/>
    <w:rsid w:val="00CF5EE0"/>
    <w:rsid w:val="00D07824"/>
    <w:rsid w:val="00D10DA4"/>
    <w:rsid w:val="00D14734"/>
    <w:rsid w:val="00D2041D"/>
    <w:rsid w:val="00D258A0"/>
    <w:rsid w:val="00D269B6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7C"/>
    <w:rsid w:val="00D907E6"/>
    <w:rsid w:val="00D91B48"/>
    <w:rsid w:val="00D93CA5"/>
    <w:rsid w:val="00D95227"/>
    <w:rsid w:val="00DA251F"/>
    <w:rsid w:val="00DA301F"/>
    <w:rsid w:val="00DA3F0F"/>
    <w:rsid w:val="00DA4168"/>
    <w:rsid w:val="00DA6AC8"/>
    <w:rsid w:val="00DB2EE7"/>
    <w:rsid w:val="00DB6BDE"/>
    <w:rsid w:val="00DB7924"/>
    <w:rsid w:val="00DC119F"/>
    <w:rsid w:val="00DC2622"/>
    <w:rsid w:val="00DC45E1"/>
    <w:rsid w:val="00DC5459"/>
    <w:rsid w:val="00DD3947"/>
    <w:rsid w:val="00DD5A3D"/>
    <w:rsid w:val="00DE026B"/>
    <w:rsid w:val="00DF2962"/>
    <w:rsid w:val="00E07446"/>
    <w:rsid w:val="00E11D8B"/>
    <w:rsid w:val="00E153D2"/>
    <w:rsid w:val="00E17246"/>
    <w:rsid w:val="00E24C84"/>
    <w:rsid w:val="00E303C3"/>
    <w:rsid w:val="00E31C33"/>
    <w:rsid w:val="00E36290"/>
    <w:rsid w:val="00E4085F"/>
    <w:rsid w:val="00E47C5C"/>
    <w:rsid w:val="00E504B1"/>
    <w:rsid w:val="00E506B6"/>
    <w:rsid w:val="00E54649"/>
    <w:rsid w:val="00E5479C"/>
    <w:rsid w:val="00E74C15"/>
    <w:rsid w:val="00E74FCC"/>
    <w:rsid w:val="00E75D9A"/>
    <w:rsid w:val="00E77DC1"/>
    <w:rsid w:val="00E80D40"/>
    <w:rsid w:val="00E823D8"/>
    <w:rsid w:val="00EA1429"/>
    <w:rsid w:val="00EA250A"/>
    <w:rsid w:val="00EA2A7F"/>
    <w:rsid w:val="00EB2896"/>
    <w:rsid w:val="00EB5F0D"/>
    <w:rsid w:val="00EB7697"/>
    <w:rsid w:val="00EC7B54"/>
    <w:rsid w:val="00EF0A96"/>
    <w:rsid w:val="00EF1F49"/>
    <w:rsid w:val="00EF64C9"/>
    <w:rsid w:val="00F12AD2"/>
    <w:rsid w:val="00F16DC6"/>
    <w:rsid w:val="00F2143E"/>
    <w:rsid w:val="00F217AF"/>
    <w:rsid w:val="00F249AC"/>
    <w:rsid w:val="00F3100A"/>
    <w:rsid w:val="00F315A0"/>
    <w:rsid w:val="00F32B5F"/>
    <w:rsid w:val="00F40FD7"/>
    <w:rsid w:val="00F42555"/>
    <w:rsid w:val="00F4484E"/>
    <w:rsid w:val="00F44FFB"/>
    <w:rsid w:val="00F54067"/>
    <w:rsid w:val="00F602ED"/>
    <w:rsid w:val="00F67D70"/>
    <w:rsid w:val="00F71CFB"/>
    <w:rsid w:val="00F73209"/>
    <w:rsid w:val="00F77D78"/>
    <w:rsid w:val="00F81023"/>
    <w:rsid w:val="00F832B8"/>
    <w:rsid w:val="00F83314"/>
    <w:rsid w:val="00F85AEE"/>
    <w:rsid w:val="00F86E4D"/>
    <w:rsid w:val="00F87095"/>
    <w:rsid w:val="00F93731"/>
    <w:rsid w:val="00F93C15"/>
    <w:rsid w:val="00FA1041"/>
    <w:rsid w:val="00FA18DA"/>
    <w:rsid w:val="00FB73C1"/>
    <w:rsid w:val="00FB7E99"/>
    <w:rsid w:val="00FC1740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03B86D42"/>
    <w:rsid w:val="05543DA3"/>
    <w:rsid w:val="05EF6B1B"/>
    <w:rsid w:val="0F8A6A9C"/>
    <w:rsid w:val="131DBAAB"/>
    <w:rsid w:val="165A4734"/>
    <w:rsid w:val="1BE41432"/>
    <w:rsid w:val="1C6D26C0"/>
    <w:rsid w:val="26132C44"/>
    <w:rsid w:val="2D59AC04"/>
    <w:rsid w:val="303CEA41"/>
    <w:rsid w:val="32649693"/>
    <w:rsid w:val="33CB4812"/>
    <w:rsid w:val="34301556"/>
    <w:rsid w:val="355706AD"/>
    <w:rsid w:val="395092BB"/>
    <w:rsid w:val="3B3379E3"/>
    <w:rsid w:val="431DDB87"/>
    <w:rsid w:val="4363D852"/>
    <w:rsid w:val="467CFDE6"/>
    <w:rsid w:val="49076B03"/>
    <w:rsid w:val="57A728E8"/>
    <w:rsid w:val="57C86B13"/>
    <w:rsid w:val="5A5C256E"/>
    <w:rsid w:val="5BF7F5CF"/>
    <w:rsid w:val="6079F2C8"/>
    <w:rsid w:val="677D7456"/>
    <w:rsid w:val="6CB36480"/>
    <w:rsid w:val="7259E855"/>
    <w:rsid w:val="768F9675"/>
    <w:rsid w:val="76ABFBCF"/>
    <w:rsid w:val="7875F87A"/>
    <w:rsid w:val="79E39C91"/>
    <w:rsid w:val="7C7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A96A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0396E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8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89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Default">
    <w:name w:val="Default"/>
    <w:rsid w:val="007C6D7F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52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3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7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3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3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53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9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3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6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2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4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13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29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34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31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7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63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9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9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1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31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48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8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40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7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48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36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13528"/>
    <w:rsid w:val="000608F2"/>
    <w:rsid w:val="000965B7"/>
    <w:rsid w:val="00525F43"/>
    <w:rsid w:val="00731377"/>
    <w:rsid w:val="00860FDC"/>
    <w:rsid w:val="00912884"/>
    <w:rsid w:val="00B02246"/>
    <w:rsid w:val="00B513C0"/>
    <w:rsid w:val="00C636E0"/>
    <w:rsid w:val="00CB5C67"/>
    <w:rsid w:val="00E564D4"/>
    <w:rsid w:val="00F968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C93A2-0BAB-459A-94C3-9E9C13EB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CE897-8EA0-4E09-B886-28DD76DF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2 RFP – December 13, 2023 Feedback Form</vt:lpstr>
    </vt:vector>
  </TitlesOfParts>
  <Manager/>
  <Company>Independent Electricity System Operator</Company>
  <LinksUpToDate>false</LinksUpToDate>
  <CharactersWithSpaces>2350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2 RFP – December 13, 2023 Feedback Form</dc:title>
  <dc:subject/>
  <dc:creator>Independent Electricity System Operator (IESO)</dc:creator>
  <cp:keywords/>
  <dc:description/>
  <cp:lastModifiedBy>Trisha Hickson</cp:lastModifiedBy>
  <cp:revision>3</cp:revision>
  <cp:lastPrinted>2020-04-17T18:00:00Z</cp:lastPrinted>
  <dcterms:created xsi:type="dcterms:W3CDTF">2024-02-02T15:12:00Z</dcterms:created>
  <dcterms:modified xsi:type="dcterms:W3CDTF">2024-02-02T15:13:00Z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