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BBFF9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9579432" w:rsidR="006F582B" w:rsidRDefault="0083228F" w:rsidP="006F582B">
      <w:pPr>
        <w:pStyle w:val="Heading2"/>
      </w:pPr>
      <w:r>
        <w:t>Improving Accessibility</w:t>
      </w:r>
      <w:bookmarkStart w:id="0" w:name="_GoBack"/>
      <w:bookmarkEnd w:id="0"/>
      <w:r>
        <w:t xml:space="preserve"> of Operating Reserve</w:t>
      </w:r>
      <w:r w:rsidR="00252B43">
        <w:t xml:space="preserve"> webinar</w:t>
      </w:r>
      <w:r w:rsidR="007A1A30">
        <w:t xml:space="preserve"> – </w:t>
      </w:r>
      <w:r>
        <w:t>May 28</w:t>
      </w:r>
      <w:r w:rsidR="0054218F"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5C15A2B6" w14:textId="656ED70D" w:rsidR="006F582B" w:rsidRDefault="00B44D93" w:rsidP="006F582B">
      <w:pPr>
        <w:pStyle w:val="BodyText"/>
      </w:pPr>
      <w:r w:rsidRPr="005D1848">
        <w:rPr>
          <w:rFonts w:eastAsiaTheme="minorEastAsia" w:cs="Tahoma"/>
          <w:szCs w:val="22"/>
          <w:lang w:val="en-US"/>
        </w:rPr>
        <w:t xml:space="preserve">Following the </w:t>
      </w:r>
      <w:r w:rsidR="0083228F">
        <w:rPr>
          <w:rFonts w:eastAsiaTheme="minorEastAsia" w:cs="Tahoma"/>
          <w:szCs w:val="22"/>
          <w:lang w:val="en-US"/>
        </w:rPr>
        <w:t>May 28</w:t>
      </w:r>
      <w:r w:rsidR="0054218F">
        <w:rPr>
          <w:rFonts w:eastAsiaTheme="minorEastAsia" w:cs="Tahoma"/>
          <w:szCs w:val="22"/>
          <w:lang w:val="en-US"/>
        </w:rPr>
        <w:t>, 2021</w:t>
      </w:r>
      <w:r w:rsidRPr="005D1848">
        <w:rPr>
          <w:rFonts w:eastAsiaTheme="minorEastAsia" w:cs="Tahoma"/>
          <w:szCs w:val="22"/>
          <w:lang w:val="en-US"/>
        </w:rPr>
        <w:t xml:space="preserve"> </w:t>
      </w:r>
      <w:r w:rsidR="0083228F">
        <w:rPr>
          <w:rFonts w:eastAsiaTheme="minorEastAsia" w:cs="Tahoma"/>
          <w:szCs w:val="22"/>
          <w:lang w:val="en-US"/>
        </w:rPr>
        <w:t>Improving Accessibility of Operating Reserve (OR)</w:t>
      </w:r>
      <w:r w:rsidR="00C27988">
        <w:rPr>
          <w:rFonts w:eastAsiaTheme="minorEastAsia" w:cs="Tahoma"/>
          <w:szCs w:val="22"/>
          <w:lang w:val="en-US"/>
        </w:rPr>
        <w:t xml:space="preserve"> engagement webinar</w:t>
      </w:r>
      <w:r w:rsidRPr="005D184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 w:rsidR="0083228F">
        <w:rPr>
          <w:rFonts w:eastAsiaTheme="minorEastAsia" w:cs="Tahoma"/>
          <w:szCs w:val="22"/>
          <w:lang w:val="en-US"/>
        </w:rPr>
        <w:t>seeking</w:t>
      </w:r>
      <w:r w:rsidRPr="005D1848">
        <w:rPr>
          <w:rFonts w:eastAsiaTheme="minorEastAsia" w:cs="Tahoma"/>
          <w:szCs w:val="22"/>
          <w:lang w:val="en-US"/>
        </w:rPr>
        <w:t xml:space="preserve"> feedback from stakeholders on the items discussed during the webinar. </w:t>
      </w:r>
      <w:r w:rsidR="00FA3F94">
        <w:rPr>
          <w:rFonts w:eastAsiaTheme="minorEastAsia" w:cs="Tahoma"/>
          <w:szCs w:val="22"/>
          <w:lang w:val="en-US"/>
        </w:rPr>
        <w:t>The webinar presentation and recording</w:t>
      </w:r>
      <w:r w:rsidRPr="005D1848">
        <w:rPr>
          <w:rFonts w:eastAsiaTheme="minorEastAsia" w:cs="Tahoma"/>
          <w:szCs w:val="22"/>
          <w:lang w:val="en-US"/>
        </w:rPr>
        <w:t xml:space="preserve"> can be accessed from the </w:t>
      </w:r>
      <w:hyperlink r:id="rId8" w:history="1">
        <w:r w:rsidRPr="00A515BA">
          <w:rPr>
            <w:rStyle w:val="Hyperlink"/>
            <w:rFonts w:eastAsiaTheme="minorEastAsia" w:cs="Tahoma"/>
            <w:szCs w:val="22"/>
            <w:lang w:val="en-US" w:eastAsia="en-US"/>
            <w14:numForm w14:val="default"/>
            <w14:numSpacing w14:val="default"/>
          </w:rPr>
          <w:t>engagement web page</w:t>
        </w:r>
      </w:hyperlink>
      <w:r w:rsidRPr="005D1848">
        <w:rPr>
          <w:rFonts w:eastAsiaTheme="minorEastAsia" w:cs="Tahoma"/>
          <w:szCs w:val="22"/>
          <w:lang w:val="en-US"/>
        </w:rPr>
        <w:t>.</w:t>
      </w:r>
    </w:p>
    <w:p w14:paraId="5A95E5DF" w14:textId="5BE32A5D" w:rsidR="009B6BAE" w:rsidRDefault="00B44D93" w:rsidP="006F582B">
      <w:pPr>
        <w:pStyle w:val="BodyText"/>
      </w:pPr>
      <w:r w:rsidRPr="00717CD0">
        <w:rPr>
          <w:rFonts w:eastAsiaTheme="minorEastAsia" w:cs="Tahoma"/>
          <w:b/>
          <w:szCs w:val="22"/>
          <w:lang w:val="en-US"/>
        </w:rPr>
        <w:t>Please submit feedback to</w:t>
      </w:r>
      <w:r w:rsidRPr="005D1848">
        <w:rPr>
          <w:rFonts w:eastAsiaTheme="minorEastAsia" w:cs="Tahoma"/>
          <w:szCs w:val="22"/>
          <w:lang w:val="en-US"/>
        </w:rPr>
        <w:t xml:space="preserve"> </w:t>
      </w:r>
      <w:hyperlink r:id="rId9" w:history="1">
        <w:r w:rsidRPr="008810D0">
          <w:rPr>
            <w:rStyle w:val="Hyperlink"/>
            <w:rFonts w:eastAsiaTheme="minorEastAsia" w:cs="Tahoma"/>
            <w:szCs w:val="22"/>
            <w:lang w:val="en-US" w:eastAsia="en-US"/>
            <w14:numForm w14:val="default"/>
            <w14:numSpacing w14:val="default"/>
          </w:rPr>
          <w:t>engagement@ieso.ca</w:t>
        </w:r>
      </w:hyperlink>
      <w:r>
        <w:rPr>
          <w:rFonts w:eastAsiaTheme="minorEastAsia" w:cs="Tahoma"/>
          <w:szCs w:val="22"/>
          <w:lang w:val="en-US"/>
        </w:rPr>
        <w:t xml:space="preserve"> </w:t>
      </w:r>
      <w:r w:rsidRPr="00717CD0">
        <w:rPr>
          <w:rFonts w:eastAsiaTheme="minorEastAsia" w:cs="Tahoma"/>
          <w:b/>
          <w:szCs w:val="22"/>
          <w:lang w:val="en-US"/>
        </w:rPr>
        <w:t xml:space="preserve">by </w:t>
      </w:r>
      <w:r w:rsidR="0083228F">
        <w:rPr>
          <w:rFonts w:eastAsiaTheme="minorEastAsia" w:cs="Tahoma"/>
          <w:b/>
          <w:szCs w:val="22"/>
          <w:lang w:val="en-US"/>
        </w:rPr>
        <w:t>June 18</w:t>
      </w:r>
      <w:r w:rsidR="0054218F">
        <w:rPr>
          <w:rFonts w:eastAsiaTheme="minorEastAsia" w:cs="Tahoma"/>
          <w:b/>
          <w:szCs w:val="22"/>
          <w:lang w:val="en-US"/>
        </w:rPr>
        <w:t>, 2021</w:t>
      </w:r>
      <w:r w:rsidRPr="005D184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4A9555B9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8649262" w14:textId="77777777" w:rsidR="00CA0B26" w:rsidRDefault="00CA0B26" w:rsidP="00CA0B26">
      <w:pPr>
        <w:pStyle w:val="Heading3"/>
      </w:pPr>
      <w:bookmarkStart w:id="1" w:name="_Toc35868671"/>
      <w:r>
        <w:lastRenderedPageBreak/>
        <w:t>Proposed Dispatch Tool Change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420"/>
        <w:gridCol w:w="6570"/>
      </w:tblGrid>
      <w:tr w:rsidR="00CA0B26" w:rsidRPr="006B7128" w14:paraId="01931294" w14:textId="77777777" w:rsidTr="00DB17B6">
        <w:trPr>
          <w:cantSplit/>
          <w:trHeight w:val="144"/>
          <w:tblHeader/>
        </w:trPr>
        <w:tc>
          <w:tcPr>
            <w:tcW w:w="3420" w:type="dxa"/>
            <w:tcMar>
              <w:top w:w="0" w:type="dxa"/>
              <w:bottom w:w="130" w:type="dxa"/>
            </w:tcMar>
            <w:vAlign w:val="bottom"/>
          </w:tcPr>
          <w:p w14:paraId="5550892D" w14:textId="77777777" w:rsidR="00CA0B26" w:rsidRPr="003A3754" w:rsidRDefault="00CA0B26" w:rsidP="00D57B1E">
            <w:pPr>
              <w:pStyle w:val="TableHeaderLeftAlignment"/>
            </w:pPr>
            <w:r>
              <w:t>Topic</w:t>
            </w:r>
          </w:p>
        </w:tc>
        <w:tc>
          <w:tcPr>
            <w:tcW w:w="657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DAB5972" w14:textId="77777777" w:rsidR="00CA0B26" w:rsidRPr="006B7128" w:rsidRDefault="00CA0B26" w:rsidP="00D57B1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A0B26" w:rsidRPr="006B7128" w14:paraId="2E4FADF0" w14:textId="77777777" w:rsidTr="004D42AB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023C7908" w14:textId="77777777" w:rsidR="00CA0B26" w:rsidRPr="00B91B2C" w:rsidRDefault="00CA0B26" w:rsidP="00D57B1E">
            <w:pPr>
              <w:pStyle w:val="TableNumeralsLeftAlignment"/>
            </w:pPr>
            <w:r w:rsidRPr="00CA0B26">
              <w:t xml:space="preserve">Do stakeholders foresee any challenges with the proposed dispatch tool change in terms of market participant </w:t>
            </w:r>
            <w:proofErr w:type="spellStart"/>
            <w:r w:rsidRPr="00CA0B26">
              <w:t>implementability</w:t>
            </w:r>
            <w:proofErr w:type="spellEnd"/>
            <w:r w:rsidRPr="00CA0B26">
              <w:t>?</w:t>
            </w:r>
          </w:p>
        </w:tc>
        <w:tc>
          <w:tcPr>
            <w:tcW w:w="65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4FBE366" w14:textId="77777777" w:rsidR="00CA0B26" w:rsidRPr="006D7540" w:rsidRDefault="00CA0B26" w:rsidP="00D57B1E">
            <w:pPr>
              <w:pStyle w:val="TableNumeralsLeftAlignment"/>
            </w:pPr>
          </w:p>
        </w:tc>
      </w:tr>
      <w:tr w:rsidR="00CA0B26" w:rsidRPr="006B7128" w14:paraId="2CA52BD3" w14:textId="77777777" w:rsidTr="004D42AB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41D08E4E" w14:textId="77777777" w:rsidR="00CA0B26" w:rsidRPr="00B91B2C" w:rsidRDefault="00CA0B26" w:rsidP="00D57B1E">
            <w:pPr>
              <w:pStyle w:val="TableNumeralsLeftAlignment"/>
              <w:rPr>
                <w:lang w:val="en-CA"/>
              </w:rPr>
            </w:pPr>
            <w:r w:rsidRPr="00CA0B26">
              <w:t>From a stakeholder perspective, will the proposed design enable resources’ to effectively respond to ORA dispatches?</w:t>
            </w:r>
          </w:p>
        </w:tc>
        <w:tc>
          <w:tcPr>
            <w:tcW w:w="65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8F01010" w14:textId="77777777" w:rsidR="00CA0B26" w:rsidRPr="006D7540" w:rsidRDefault="00CA0B26" w:rsidP="00D57B1E">
            <w:pPr>
              <w:pStyle w:val="TableNumeralsLeftAlignment"/>
            </w:pPr>
          </w:p>
        </w:tc>
      </w:tr>
    </w:tbl>
    <w:p w14:paraId="0EA7A0E8" w14:textId="6DFFB26A" w:rsidR="00D56CDF" w:rsidRDefault="00CA0B26" w:rsidP="00B91B2C">
      <w:pPr>
        <w:pStyle w:val="Heading3"/>
      </w:pPr>
      <w:r w:rsidRPr="00CA0B26">
        <w:t>Draft Market Rule Amendments for Dispatch Tool Change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420"/>
        <w:gridCol w:w="6570"/>
      </w:tblGrid>
      <w:tr w:rsidR="00E04ECB" w:rsidRPr="006B7128" w14:paraId="33DDFAAF" w14:textId="77777777" w:rsidTr="00DB17B6">
        <w:trPr>
          <w:cantSplit/>
          <w:trHeight w:val="144"/>
          <w:tblHeader/>
        </w:trPr>
        <w:tc>
          <w:tcPr>
            <w:tcW w:w="3420" w:type="dxa"/>
            <w:tcMar>
              <w:top w:w="0" w:type="dxa"/>
              <w:bottom w:w="130" w:type="dxa"/>
            </w:tcMar>
            <w:vAlign w:val="bottom"/>
          </w:tcPr>
          <w:p w14:paraId="45E070E9" w14:textId="48C92BD5" w:rsidR="00E04ECB" w:rsidRPr="003A3754" w:rsidRDefault="00CA0B26" w:rsidP="008025A2">
            <w:pPr>
              <w:pStyle w:val="TableHeaderLeftAlignment"/>
            </w:pPr>
            <w:r>
              <w:t>Draft Market Rule /</w:t>
            </w:r>
            <w:r w:rsidR="00E04ECB">
              <w:t xml:space="preserve"> Section</w:t>
            </w:r>
          </w:p>
        </w:tc>
        <w:tc>
          <w:tcPr>
            <w:tcW w:w="657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587DC6" w14:textId="77777777" w:rsidR="00E04ECB" w:rsidRPr="006B7128" w:rsidRDefault="00E04ECB" w:rsidP="008025A2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E04ECB" w:rsidRPr="006B7128" w14:paraId="50D19DB0" w14:textId="77777777" w:rsidTr="004D42AB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65E6D8AC" w14:textId="3472DC68" w:rsidR="00E04ECB" w:rsidRPr="00CA0B26" w:rsidRDefault="00CA0B26" w:rsidP="00CA0B26">
            <w:pPr>
              <w:pStyle w:val="TableNumeralsLeftAlignment"/>
              <w:rPr>
                <w:lang w:val="en-CA"/>
              </w:rPr>
            </w:pPr>
            <w:r w:rsidRPr="00CA0B26">
              <w:t>Chapter 7,</w:t>
            </w:r>
            <w:r>
              <w:t xml:space="preserve"> </w:t>
            </w:r>
            <w:r w:rsidRPr="00CA0B26">
              <w:t>Sec. 7.4.3</w:t>
            </w:r>
          </w:p>
        </w:tc>
        <w:tc>
          <w:tcPr>
            <w:tcW w:w="65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4133B2A" w14:textId="77777777" w:rsidR="00E04ECB" w:rsidRPr="006D7540" w:rsidRDefault="00E04ECB" w:rsidP="00CA0B26">
            <w:pPr>
              <w:pStyle w:val="TableNumeralsLeftAlignment"/>
            </w:pPr>
          </w:p>
        </w:tc>
      </w:tr>
      <w:tr w:rsidR="00E04ECB" w:rsidRPr="006B7128" w14:paraId="587139C5" w14:textId="77777777" w:rsidTr="004D42AB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264EE6F9" w14:textId="0CE0F787" w:rsidR="00E04ECB" w:rsidRPr="00F61AB7" w:rsidRDefault="00CA0B26" w:rsidP="00CA0B26">
            <w:pPr>
              <w:pStyle w:val="TableNumeralsLeftAlignment"/>
            </w:pPr>
            <w:r w:rsidRPr="00CA0B26">
              <w:t>Chapter 7,</w:t>
            </w:r>
            <w:r>
              <w:t xml:space="preserve"> </w:t>
            </w:r>
            <w:r w:rsidRPr="00CA0B26">
              <w:rPr>
                <w:rFonts w:eastAsiaTheme="minorHAnsi" w:cs="Times New Roman (Body CS)"/>
                <w:bCs w:val="0"/>
                <w:szCs w:val="24"/>
                <w:lang w:val="en-CA"/>
                <w14:ligatures w14:val="none"/>
                <w14:numForm w14:val="default"/>
                <w14:numSpacing w14:val="default"/>
              </w:rPr>
              <w:t>Sec. 7.4.3A</w:t>
            </w:r>
          </w:p>
        </w:tc>
        <w:tc>
          <w:tcPr>
            <w:tcW w:w="65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BFF9E85" w14:textId="77777777" w:rsidR="00E04ECB" w:rsidRPr="006D7540" w:rsidRDefault="00E04ECB" w:rsidP="00CA0B26">
            <w:pPr>
              <w:pStyle w:val="TableNumeralsLeftAlignment"/>
            </w:pPr>
          </w:p>
        </w:tc>
      </w:tr>
      <w:tr w:rsidR="00E04ECB" w:rsidRPr="006B7128" w14:paraId="76F7E1A3" w14:textId="77777777" w:rsidTr="004D42AB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39239289" w14:textId="5EFE0233" w:rsidR="00E04ECB" w:rsidRPr="00F61AB7" w:rsidRDefault="00CA0B26" w:rsidP="00CA0B26">
            <w:pPr>
              <w:pStyle w:val="TableNumeralsLeftAlignment"/>
            </w:pPr>
            <w:r w:rsidRPr="00CA0B26">
              <w:t>Chapter 7, Sec. 7.5.9</w:t>
            </w:r>
          </w:p>
        </w:tc>
        <w:tc>
          <w:tcPr>
            <w:tcW w:w="65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4B9622B" w14:textId="77777777" w:rsidR="00E04ECB" w:rsidRPr="006D7540" w:rsidRDefault="00E04ECB" w:rsidP="00CA0B26">
            <w:pPr>
              <w:pStyle w:val="TableNumeralsLeftAlignment"/>
            </w:pPr>
          </w:p>
        </w:tc>
      </w:tr>
      <w:tr w:rsidR="00B91B2C" w:rsidRPr="006B7128" w14:paraId="5A39B7DF" w14:textId="77777777" w:rsidTr="004D42AB">
        <w:trPr>
          <w:cantSplit/>
          <w:trHeight w:val="144"/>
        </w:trPr>
        <w:tc>
          <w:tcPr>
            <w:tcW w:w="3420" w:type="dxa"/>
            <w:shd w:val="clear" w:color="auto" w:fill="auto"/>
            <w:tcMar>
              <w:top w:w="130" w:type="dxa"/>
              <w:bottom w:w="130" w:type="dxa"/>
            </w:tcMar>
          </w:tcPr>
          <w:p w14:paraId="5820B427" w14:textId="36FE600A" w:rsidR="00B91B2C" w:rsidRDefault="00B91B2C" w:rsidP="00CA0B26">
            <w:pPr>
              <w:pStyle w:val="TableNumeralsLeftAlignment"/>
            </w:pPr>
            <w:r>
              <w:t>General comments/feedback</w:t>
            </w:r>
          </w:p>
        </w:tc>
        <w:tc>
          <w:tcPr>
            <w:tcW w:w="657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9AC18A0" w14:textId="77777777" w:rsidR="00B91B2C" w:rsidRPr="006D7540" w:rsidRDefault="00B91B2C" w:rsidP="00CA0B26">
            <w:pPr>
              <w:pStyle w:val="TableNumeralsLeftAlignment"/>
            </w:pPr>
          </w:p>
        </w:tc>
      </w:tr>
    </w:tbl>
    <w:p w14:paraId="4E79C34A" w14:textId="2D94AD32" w:rsidR="00CA0B26" w:rsidRDefault="00CA0B26" w:rsidP="00CA0B26">
      <w:pPr>
        <w:pStyle w:val="Heading3"/>
      </w:pPr>
      <w:r w:rsidRPr="00CA0B26">
        <w:t xml:space="preserve">Draft Market Rule Amendments for </w:t>
      </w:r>
      <w:r w:rsidRPr="00CA0B26">
        <w:rPr>
          <w:lang w:val="en-US"/>
        </w:rPr>
        <w:t>Unwarranted CMSC Claw</w:t>
      </w:r>
      <w:r>
        <w:rPr>
          <w:lang w:val="en-US"/>
        </w:rPr>
        <w:t>-</w:t>
      </w:r>
      <w:r w:rsidRPr="00CA0B26">
        <w:rPr>
          <w:lang w:val="en-US"/>
        </w:rPr>
        <w:t>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600"/>
        <w:gridCol w:w="6390"/>
      </w:tblGrid>
      <w:tr w:rsidR="00CA0B26" w:rsidRPr="006B7128" w14:paraId="395B895B" w14:textId="77777777" w:rsidTr="00D57B1E">
        <w:trPr>
          <w:cantSplit/>
          <w:trHeight w:val="144"/>
          <w:tblHeader/>
        </w:trPr>
        <w:tc>
          <w:tcPr>
            <w:tcW w:w="3600" w:type="dxa"/>
            <w:tcMar>
              <w:top w:w="0" w:type="dxa"/>
              <w:bottom w:w="130" w:type="dxa"/>
            </w:tcMar>
            <w:vAlign w:val="bottom"/>
          </w:tcPr>
          <w:p w14:paraId="3045D5F6" w14:textId="77777777" w:rsidR="00CA0B26" w:rsidRPr="003A3754" w:rsidRDefault="00CA0B26" w:rsidP="00D57B1E">
            <w:pPr>
              <w:pStyle w:val="TableHeaderLeftAlignment"/>
            </w:pPr>
            <w:r>
              <w:t>Draft Market Rule / Section</w:t>
            </w:r>
          </w:p>
        </w:tc>
        <w:tc>
          <w:tcPr>
            <w:tcW w:w="63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22DFD50" w14:textId="77777777" w:rsidR="00CA0B26" w:rsidRPr="006B7128" w:rsidRDefault="00CA0B26" w:rsidP="00D57B1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A0B26" w:rsidRPr="006B7128" w14:paraId="44B7D7CB" w14:textId="77777777" w:rsidTr="004D42AB">
        <w:trPr>
          <w:cantSplit/>
          <w:trHeight w:val="144"/>
        </w:trPr>
        <w:tc>
          <w:tcPr>
            <w:tcW w:w="3600" w:type="dxa"/>
            <w:shd w:val="clear" w:color="auto" w:fill="auto"/>
            <w:tcMar>
              <w:top w:w="130" w:type="dxa"/>
              <w:bottom w:w="130" w:type="dxa"/>
            </w:tcMar>
          </w:tcPr>
          <w:p w14:paraId="07B130BF" w14:textId="0C45A859" w:rsidR="00CA0B26" w:rsidRPr="00CA0B26" w:rsidRDefault="00CA0B26" w:rsidP="00CA0B26">
            <w:pPr>
              <w:pStyle w:val="TableNumeralsLeftAlignment"/>
              <w:rPr>
                <w:lang w:val="en-CA"/>
              </w:rPr>
            </w:pPr>
            <w:r w:rsidRPr="00CA0B26">
              <w:t>Chapter 7,</w:t>
            </w:r>
            <w:r>
              <w:t xml:space="preserve"> </w:t>
            </w:r>
            <w:r w:rsidRPr="00CA0B26">
              <w:t>Sec. 7.4.6</w:t>
            </w:r>
          </w:p>
        </w:tc>
        <w:tc>
          <w:tcPr>
            <w:tcW w:w="639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3A7BAD9" w14:textId="77777777" w:rsidR="00CA0B26" w:rsidRPr="006D7540" w:rsidRDefault="00CA0B26" w:rsidP="00D57B1E">
            <w:pPr>
              <w:pStyle w:val="TableNumeralsLeftAlignment"/>
            </w:pPr>
          </w:p>
        </w:tc>
      </w:tr>
      <w:tr w:rsidR="00CA0B26" w:rsidRPr="006B7128" w14:paraId="047234B8" w14:textId="77777777" w:rsidTr="004D42AB">
        <w:trPr>
          <w:cantSplit/>
          <w:trHeight w:val="144"/>
        </w:trPr>
        <w:tc>
          <w:tcPr>
            <w:tcW w:w="3600" w:type="dxa"/>
            <w:shd w:val="clear" w:color="auto" w:fill="auto"/>
            <w:tcMar>
              <w:top w:w="130" w:type="dxa"/>
              <w:bottom w:w="130" w:type="dxa"/>
            </w:tcMar>
          </w:tcPr>
          <w:p w14:paraId="49F7BD1F" w14:textId="77777777" w:rsidR="00CA0B26" w:rsidRDefault="00CA0B26" w:rsidP="00D57B1E">
            <w:pPr>
              <w:pStyle w:val="TableNumeralsLeftAlignment"/>
            </w:pPr>
            <w:r>
              <w:t>General comments/feedback</w:t>
            </w:r>
          </w:p>
        </w:tc>
        <w:tc>
          <w:tcPr>
            <w:tcW w:w="639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01F1B97" w14:textId="77777777" w:rsidR="00CA0B26" w:rsidRPr="006D7540" w:rsidRDefault="00CA0B26" w:rsidP="00D57B1E">
            <w:pPr>
              <w:pStyle w:val="TableNumeralsLeftAlignment"/>
            </w:pPr>
          </w:p>
        </w:tc>
      </w:tr>
    </w:tbl>
    <w:p w14:paraId="31279E69" w14:textId="7F167ED6" w:rsidR="00DB17B6" w:rsidRDefault="00DB17B6" w:rsidP="00DB17B6">
      <w:pPr>
        <w:pStyle w:val="Heading3"/>
      </w:pPr>
      <w:r w:rsidRPr="00CA0B26">
        <w:t xml:space="preserve">Draft Market Rule Amendments for </w:t>
      </w:r>
      <w:r w:rsidRPr="00DB17B6">
        <w:rPr>
          <w:lang w:val="en-US"/>
        </w:rPr>
        <w:t>OR Settlement Claw-back</w:t>
      </w:r>
      <w:r>
        <w:rPr>
          <w:lang w:val="en-US"/>
        </w:rPr>
        <w:t xml:space="preserve"> – Refer to Appendix C of the presentation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600"/>
        <w:gridCol w:w="6390"/>
      </w:tblGrid>
      <w:tr w:rsidR="00DB17B6" w:rsidRPr="006B7128" w14:paraId="18CD2F6F" w14:textId="77777777" w:rsidTr="00D57B1E">
        <w:trPr>
          <w:cantSplit/>
          <w:trHeight w:val="144"/>
          <w:tblHeader/>
        </w:trPr>
        <w:tc>
          <w:tcPr>
            <w:tcW w:w="3600" w:type="dxa"/>
            <w:tcMar>
              <w:top w:w="0" w:type="dxa"/>
              <w:bottom w:w="130" w:type="dxa"/>
            </w:tcMar>
            <w:vAlign w:val="bottom"/>
          </w:tcPr>
          <w:p w14:paraId="57F4F3F7" w14:textId="77777777" w:rsidR="00DB17B6" w:rsidRPr="003A3754" w:rsidRDefault="00DB17B6" w:rsidP="00D57B1E">
            <w:pPr>
              <w:pStyle w:val="TableHeaderLeftAlignment"/>
            </w:pPr>
            <w:r>
              <w:t>Draft Market Rule / Section</w:t>
            </w:r>
          </w:p>
        </w:tc>
        <w:tc>
          <w:tcPr>
            <w:tcW w:w="63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40320E" w14:textId="77777777" w:rsidR="00DB17B6" w:rsidRPr="006B7128" w:rsidRDefault="00DB17B6" w:rsidP="00D57B1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DB17B6" w:rsidRPr="006B7128" w14:paraId="0F4D2A19" w14:textId="77777777" w:rsidTr="004D42AB">
        <w:trPr>
          <w:cantSplit/>
          <w:trHeight w:val="144"/>
        </w:trPr>
        <w:tc>
          <w:tcPr>
            <w:tcW w:w="3600" w:type="dxa"/>
            <w:shd w:val="clear" w:color="auto" w:fill="auto"/>
            <w:tcMar>
              <w:top w:w="130" w:type="dxa"/>
              <w:bottom w:w="130" w:type="dxa"/>
            </w:tcMar>
          </w:tcPr>
          <w:p w14:paraId="12A181FB" w14:textId="0BD4A73E" w:rsidR="00DB17B6" w:rsidRPr="00CA0B26" w:rsidRDefault="00DB17B6" w:rsidP="00DB17B6">
            <w:pPr>
              <w:pStyle w:val="TableNumeralsLeftAlignment"/>
              <w:rPr>
                <w:lang w:val="en-CA"/>
              </w:rPr>
            </w:pPr>
            <w:r w:rsidRPr="00DB17B6">
              <w:t>Chapter 7,</w:t>
            </w:r>
            <w:r>
              <w:t xml:space="preserve"> </w:t>
            </w:r>
            <w:r w:rsidRPr="00DB17B6">
              <w:t>Various sections</w:t>
            </w:r>
          </w:p>
        </w:tc>
        <w:tc>
          <w:tcPr>
            <w:tcW w:w="639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90426B1" w14:textId="77777777" w:rsidR="00DB17B6" w:rsidRPr="006D7540" w:rsidRDefault="00DB17B6" w:rsidP="00D57B1E">
            <w:pPr>
              <w:pStyle w:val="TableNumeralsLeftAlignment"/>
            </w:pPr>
          </w:p>
        </w:tc>
      </w:tr>
      <w:tr w:rsidR="00DB17B6" w:rsidRPr="006B7128" w14:paraId="689BDA8F" w14:textId="77777777" w:rsidTr="004D42AB">
        <w:trPr>
          <w:cantSplit/>
          <w:trHeight w:val="144"/>
        </w:trPr>
        <w:tc>
          <w:tcPr>
            <w:tcW w:w="3600" w:type="dxa"/>
            <w:shd w:val="clear" w:color="auto" w:fill="auto"/>
            <w:tcMar>
              <w:top w:w="130" w:type="dxa"/>
              <w:bottom w:w="130" w:type="dxa"/>
            </w:tcMar>
          </w:tcPr>
          <w:p w14:paraId="3878A59E" w14:textId="730D3BFA" w:rsidR="00DB17B6" w:rsidRPr="00DB17B6" w:rsidRDefault="00DB17B6" w:rsidP="00DB17B6">
            <w:pPr>
              <w:pStyle w:val="TableNumeralsLeftAlignment"/>
            </w:pPr>
            <w:r w:rsidRPr="00DB17B6">
              <w:t>Chapter 9,</w:t>
            </w:r>
            <w:r>
              <w:t xml:space="preserve"> </w:t>
            </w:r>
            <w:r w:rsidRPr="00DB17B6">
              <w:t>Various sections</w:t>
            </w:r>
          </w:p>
        </w:tc>
        <w:tc>
          <w:tcPr>
            <w:tcW w:w="639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7768368" w14:textId="77777777" w:rsidR="00DB17B6" w:rsidRPr="006D7540" w:rsidRDefault="00DB17B6" w:rsidP="00D57B1E">
            <w:pPr>
              <w:pStyle w:val="TableNumeralsLeftAlignment"/>
            </w:pPr>
          </w:p>
        </w:tc>
      </w:tr>
      <w:tr w:rsidR="00DB17B6" w:rsidRPr="006B7128" w14:paraId="744E575A" w14:textId="77777777" w:rsidTr="004D42AB">
        <w:trPr>
          <w:cantSplit/>
          <w:trHeight w:val="144"/>
        </w:trPr>
        <w:tc>
          <w:tcPr>
            <w:tcW w:w="3600" w:type="dxa"/>
            <w:shd w:val="clear" w:color="auto" w:fill="auto"/>
            <w:tcMar>
              <w:top w:w="130" w:type="dxa"/>
              <w:bottom w:w="130" w:type="dxa"/>
            </w:tcMar>
          </w:tcPr>
          <w:p w14:paraId="1E54B3BC" w14:textId="77777777" w:rsidR="00DB17B6" w:rsidRDefault="00DB17B6" w:rsidP="00D57B1E">
            <w:pPr>
              <w:pStyle w:val="TableNumeralsLeftAlignment"/>
            </w:pPr>
            <w:r>
              <w:t>General comments/feedback</w:t>
            </w:r>
          </w:p>
        </w:tc>
        <w:tc>
          <w:tcPr>
            <w:tcW w:w="639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280050B" w14:textId="77777777" w:rsidR="00DB17B6" w:rsidRPr="006D7540" w:rsidRDefault="00DB17B6" w:rsidP="00D57B1E">
            <w:pPr>
              <w:pStyle w:val="TableNumeralsLeftAlignment"/>
            </w:pPr>
          </w:p>
        </w:tc>
      </w:tr>
    </w:tbl>
    <w:p w14:paraId="6A34AF51" w14:textId="77777777" w:rsidR="00DB17B6" w:rsidRDefault="00DB17B6" w:rsidP="00456376">
      <w:pPr>
        <w:pStyle w:val="BodyText"/>
      </w:pPr>
    </w:p>
    <w:p w14:paraId="029CEE15" w14:textId="66E4FE1B" w:rsidR="00B91B2C" w:rsidRPr="00B91B2C" w:rsidRDefault="00B91B2C" w:rsidP="00B91B2C">
      <w:pPr>
        <w:pStyle w:val="Heading3"/>
      </w:pPr>
      <w:r>
        <w:lastRenderedPageBreak/>
        <w:t>General Comments / Feedback</w:t>
      </w:r>
    </w:p>
    <w:bookmarkEnd w:id="1"/>
    <w:sectPr w:rsidR="00B91B2C" w:rsidRPr="00B91B2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ECD2" w14:textId="77777777" w:rsidR="00EA1429" w:rsidRDefault="00EA1429" w:rsidP="00F83314">
      <w:r>
        <w:separator/>
      </w:r>
    </w:p>
    <w:p w14:paraId="1DF33C23" w14:textId="77777777" w:rsidR="00EA1429" w:rsidRDefault="00EA1429"/>
  </w:endnote>
  <w:endnote w:type="continuationSeparator" w:id="0">
    <w:p w14:paraId="779CDA85" w14:textId="77777777" w:rsidR="00EA1429" w:rsidRDefault="00EA1429" w:rsidP="00F83314">
      <w:r>
        <w:continuationSeparator/>
      </w:r>
    </w:p>
    <w:p w14:paraId="577810A2" w14:textId="77777777" w:rsidR="00EA1429" w:rsidRDefault="00EA1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039D809F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373B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29974A9" w:rsidR="00C6016F" w:rsidRDefault="00D373BA" w:rsidP="00D373BA">
    <w:pPr>
      <w:pStyle w:val="Footer"/>
      <w:ind w:right="360"/>
    </w:pPr>
    <w:r>
      <w:t>Improving Accessibility of Operating Reserve</w:t>
    </w:r>
    <w:r w:rsidRPr="00D373BA">
      <w:t xml:space="preserve">, </w:t>
    </w:r>
    <w:r>
      <w:t>28</w:t>
    </w:r>
    <w:r w:rsidRPr="00D373BA">
      <w:t>/</w:t>
    </w:r>
    <w:r>
      <w:t>May</w:t>
    </w:r>
    <w:r w:rsidRPr="00D373BA">
      <w:t>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5AD191D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D373BA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1C119" w14:textId="77777777" w:rsidR="00EA1429" w:rsidRDefault="00EA1429">
      <w:r>
        <w:separator/>
      </w:r>
    </w:p>
  </w:footnote>
  <w:footnote w:type="continuationSeparator" w:id="0">
    <w:p w14:paraId="6B33ED3E" w14:textId="77777777" w:rsidR="00EA1429" w:rsidRDefault="00EA1429" w:rsidP="00F83314">
      <w:r>
        <w:continuationSeparator/>
      </w:r>
    </w:p>
    <w:p w14:paraId="4221618E" w14:textId="77777777" w:rsidR="00EA1429" w:rsidRDefault="00EA14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B4A97"/>
    <w:multiLevelType w:val="hybridMultilevel"/>
    <w:tmpl w:val="6D48D91A"/>
    <w:lvl w:ilvl="0" w:tplc="3774B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6D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2C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0D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5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CE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C7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A8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F361778"/>
    <w:multiLevelType w:val="multilevel"/>
    <w:tmpl w:val="0409001D"/>
    <w:numStyleLink w:val="1ai"/>
  </w:abstractNum>
  <w:abstractNum w:abstractNumId="21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4"/>
  </w:num>
  <w:num w:numId="12">
    <w:abstractNumId w:val="14"/>
  </w:num>
  <w:num w:numId="13">
    <w:abstractNumId w:val="21"/>
  </w:num>
  <w:num w:numId="14">
    <w:abstractNumId w:val="23"/>
  </w:num>
  <w:num w:numId="15">
    <w:abstractNumId w:val="20"/>
  </w:num>
  <w:num w:numId="16">
    <w:abstractNumId w:val="26"/>
  </w:num>
  <w:num w:numId="17">
    <w:abstractNumId w:val="10"/>
  </w:num>
  <w:num w:numId="18">
    <w:abstractNumId w:val="28"/>
  </w:num>
  <w:num w:numId="19">
    <w:abstractNumId w:val="22"/>
  </w:num>
  <w:num w:numId="20">
    <w:abstractNumId w:val="29"/>
  </w:num>
  <w:num w:numId="21">
    <w:abstractNumId w:val="27"/>
  </w:num>
  <w:num w:numId="22">
    <w:abstractNumId w:val="31"/>
  </w:num>
  <w:num w:numId="23">
    <w:abstractNumId w:val="16"/>
  </w:num>
  <w:num w:numId="24">
    <w:abstractNumId w:val="19"/>
  </w:num>
  <w:num w:numId="25">
    <w:abstractNumId w:val="33"/>
  </w:num>
  <w:num w:numId="26">
    <w:abstractNumId w:val="13"/>
  </w:num>
  <w:num w:numId="27">
    <w:abstractNumId w:val="35"/>
  </w:num>
  <w:num w:numId="28">
    <w:abstractNumId w:val="18"/>
  </w:num>
  <w:num w:numId="29">
    <w:abstractNumId w:val="32"/>
  </w:num>
  <w:num w:numId="30">
    <w:abstractNumId w:val="15"/>
  </w:num>
  <w:num w:numId="31">
    <w:abstractNumId w:val="24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4F4F"/>
    <w:rsid w:val="00027E00"/>
    <w:rsid w:val="00031023"/>
    <w:rsid w:val="00032FAC"/>
    <w:rsid w:val="0003386C"/>
    <w:rsid w:val="000424C0"/>
    <w:rsid w:val="00043811"/>
    <w:rsid w:val="00050A11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2C41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2B0A"/>
    <w:rsid w:val="00245326"/>
    <w:rsid w:val="002529F2"/>
    <w:rsid w:val="00252B43"/>
    <w:rsid w:val="00252FA6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2F671D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56678"/>
    <w:rsid w:val="00482219"/>
    <w:rsid w:val="00497849"/>
    <w:rsid w:val="004C1610"/>
    <w:rsid w:val="004D42AB"/>
    <w:rsid w:val="004D5A69"/>
    <w:rsid w:val="004D7C5F"/>
    <w:rsid w:val="004E0F5C"/>
    <w:rsid w:val="004F115E"/>
    <w:rsid w:val="004F4560"/>
    <w:rsid w:val="00502752"/>
    <w:rsid w:val="005066CE"/>
    <w:rsid w:val="005250E4"/>
    <w:rsid w:val="00525BD3"/>
    <w:rsid w:val="00536D37"/>
    <w:rsid w:val="00540C81"/>
    <w:rsid w:val="0054218F"/>
    <w:rsid w:val="00546F8B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1434"/>
    <w:rsid w:val="007D7593"/>
    <w:rsid w:val="007E2315"/>
    <w:rsid w:val="007E673E"/>
    <w:rsid w:val="00803BF6"/>
    <w:rsid w:val="00821FD8"/>
    <w:rsid w:val="00823D2B"/>
    <w:rsid w:val="00831390"/>
    <w:rsid w:val="0083228F"/>
    <w:rsid w:val="00836072"/>
    <w:rsid w:val="00855324"/>
    <w:rsid w:val="00862CA0"/>
    <w:rsid w:val="00871A07"/>
    <w:rsid w:val="00871E07"/>
    <w:rsid w:val="00872FD8"/>
    <w:rsid w:val="00875A7E"/>
    <w:rsid w:val="00875E05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02AC"/>
    <w:rsid w:val="00B44D93"/>
    <w:rsid w:val="00B45BE4"/>
    <w:rsid w:val="00B54E3D"/>
    <w:rsid w:val="00B55305"/>
    <w:rsid w:val="00B81E1D"/>
    <w:rsid w:val="00B91B2C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27988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0B26"/>
    <w:rsid w:val="00CA56A3"/>
    <w:rsid w:val="00CC5376"/>
    <w:rsid w:val="00CD06BE"/>
    <w:rsid w:val="00CD26E7"/>
    <w:rsid w:val="00CE0767"/>
    <w:rsid w:val="00CE3824"/>
    <w:rsid w:val="00CE3D01"/>
    <w:rsid w:val="00D10DA4"/>
    <w:rsid w:val="00D14734"/>
    <w:rsid w:val="00D2041D"/>
    <w:rsid w:val="00D258A0"/>
    <w:rsid w:val="00D26C05"/>
    <w:rsid w:val="00D321E6"/>
    <w:rsid w:val="00D36D5F"/>
    <w:rsid w:val="00D373BA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17B6"/>
    <w:rsid w:val="00DB6BDE"/>
    <w:rsid w:val="00DC2622"/>
    <w:rsid w:val="00DC45E1"/>
    <w:rsid w:val="00DC5459"/>
    <w:rsid w:val="00DD1EA8"/>
    <w:rsid w:val="00DD3947"/>
    <w:rsid w:val="00DD5A3D"/>
    <w:rsid w:val="00DE026B"/>
    <w:rsid w:val="00DF2962"/>
    <w:rsid w:val="00E04ECB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0CA"/>
    <w:rsid w:val="00EC7B54"/>
    <w:rsid w:val="00EF0A96"/>
    <w:rsid w:val="00EF1F49"/>
    <w:rsid w:val="00F12AD2"/>
    <w:rsid w:val="00F2143E"/>
    <w:rsid w:val="00F217AF"/>
    <w:rsid w:val="00F315A0"/>
    <w:rsid w:val="00F409BC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A3F94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409BC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409BC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CA0B2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456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5885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572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4362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835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61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81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770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458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49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Improving-Accessibility-of-Operating-Reserv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B5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0088A-7FBA-4195-AAD4-E61C88B9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Response Working Group webinar – February 12, 2021 Feedback</vt:lpstr>
    </vt:vector>
  </TitlesOfParts>
  <Manager/>
  <Company>Independent Electricity System Operator</Company>
  <LinksUpToDate>false</LinksUpToDate>
  <CharactersWithSpaces>1989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Response Working Group webinar – February 12, 2021 Feedback</dc:title>
  <dc:subject/>
  <dc:creator>Independent Electricity System Operator</dc:creator>
  <cp:keywords/>
  <dc:description/>
  <cp:lastModifiedBy>Daniela Drazic</cp:lastModifiedBy>
  <cp:revision>7</cp:revision>
  <cp:lastPrinted>2020-04-17T18:00:00Z</cp:lastPrinted>
  <dcterms:created xsi:type="dcterms:W3CDTF">2021-05-14T14:15:00Z</dcterms:created>
  <dcterms:modified xsi:type="dcterms:W3CDTF">2021-05-14T14:41:00Z</dcterms:modified>
  <cp:category/>
</cp:coreProperties>
</file>