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6E689FD2" w14:textId="2A33AB0E" w:rsidR="00461147" w:rsidRDefault="00461147" w:rsidP="006F582B">
      <w:pPr>
        <w:pStyle w:val="Heading2"/>
      </w:pPr>
      <w:r>
        <w:t>Resource Adequacy – December 15</w:t>
      </w:r>
    </w:p>
    <w:p w14:paraId="5DCE5DD0" w14:textId="11719D95" w:rsidR="006F582B" w:rsidRDefault="004A68DF" w:rsidP="006F582B">
      <w:pPr>
        <w:pStyle w:val="Heading2"/>
      </w:pPr>
      <w:r>
        <w:t>Hourly Demand Response: Baseline Methodology Review and Contributor Management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46B19FDE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642AA">
        <w:rPr>
          <w:lang w:val="en-US"/>
        </w:rPr>
        <w:t>Resource Adequacy</w:t>
      </w:r>
      <w:r w:rsidR="00A642AA">
        <w:rPr>
          <w:color w:val="FF0000"/>
          <w:lang w:val="en-US"/>
        </w:rPr>
        <w:t xml:space="preserve"> </w:t>
      </w:r>
      <w:r w:rsidRPr="00740728">
        <w:rPr>
          <w:lang w:val="en-US"/>
        </w:rPr>
        <w:t>webpage unless otherwise requested by the sender.</w:t>
      </w:r>
    </w:p>
    <w:p w14:paraId="3D17BBD9" w14:textId="6A46DCA6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Following the December 15, 2021 Resource Adequacy webinar, the Independent Electricity System Operator (IESO) is seeking feedback from stakeholders on the </w:t>
      </w:r>
      <w:r w:rsidR="004A68DF">
        <w:rPr>
          <w:rFonts w:ascii="Tahoma" w:hAnsi="Tahoma" w:cs="Tahoma"/>
          <w:sz w:val="22"/>
          <w:szCs w:val="22"/>
        </w:rPr>
        <w:t>information presented in the HDR presentation that may be different than comments on the draft Rules and Manuals documents which have their own specific feedback forms.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28E4534" w14:textId="72241A8C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Background information related to these feedback requests can be found in the presentation</w:t>
      </w:r>
      <w:r w:rsidR="00F83E46">
        <w:rPr>
          <w:rFonts w:ascii="Tahoma" w:hAnsi="Tahoma" w:cs="Tahoma"/>
          <w:sz w:val="22"/>
          <w:szCs w:val="22"/>
        </w:rPr>
        <w:t xml:space="preserve"> and meeting recording</w:t>
      </w:r>
      <w:r>
        <w:rPr>
          <w:rFonts w:ascii="Tahoma" w:hAnsi="Tahoma" w:cs="Tahoma"/>
          <w:sz w:val="22"/>
          <w:szCs w:val="22"/>
        </w:rPr>
        <w:t xml:space="preserve">, which can be accessed from the </w:t>
      </w:r>
      <w:hyperlink r:id="rId11" w:history="1">
        <w:r w:rsidRPr="00A26EE0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3701BFC5" w14:textId="05DB3C4C" w:rsidR="009564DE" w:rsidRDefault="009564DE" w:rsidP="009564DE">
      <w:pPr>
        <w:pStyle w:val="Default"/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submit feedback to </w:t>
      </w:r>
      <w:hyperlink r:id="rId12" w:history="1">
        <w:r w:rsidR="00A26EE0" w:rsidRPr="00A26EE0">
          <w:rPr>
            <w:rStyle w:val="Hyperlink"/>
            <w:rFonts w:cs="Tahoma"/>
            <w:bCs/>
            <w:noProof w:val="0"/>
            <w:szCs w:val="22"/>
            <w:lang w:eastAsia="en-US"/>
            <w14:numForm w14:val="default"/>
            <w14:numSpacing w14:val="default"/>
          </w:rPr>
          <w:t>engagement@ieso.ca</w:t>
        </w:r>
      </w:hyperlink>
      <w:r w:rsidR="00A26EE0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by January </w:t>
      </w:r>
      <w:r w:rsidR="0038182C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, 2022</w:t>
      </w:r>
      <w:r>
        <w:rPr>
          <w:rFonts w:ascii="Tahoma" w:hAnsi="Tahoma" w:cs="Tahoma"/>
          <w:sz w:val="22"/>
          <w:szCs w:val="22"/>
        </w:rPr>
        <w:t xml:space="preserve">. If you wish to provide confidential feedback, please mark the document “Confidential”. Otherwise, to promote transparency, feedback that is not marked “Confidential” will be posted on the engagement webpage. 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7FD31432" w14:textId="731B9CCA" w:rsidR="00461147" w:rsidRPr="00461147" w:rsidRDefault="004A68DF" w:rsidP="00461147">
      <w:pPr>
        <w:spacing w:before="360" w:after="100" w:line="360" w:lineRule="exact"/>
        <w:outlineLvl w:val="2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  <w:lastRenderedPageBreak/>
        <w:t>Hourly Demand 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15"/>
        <w:gridCol w:w="5878"/>
      </w:tblGrid>
      <w:tr w:rsidR="00461147" w:rsidRPr="00461147" w14:paraId="07947634" w14:textId="77777777" w:rsidTr="007B06CF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FBACF07" w14:textId="77777777" w:rsidR="00461147" w:rsidRPr="00461147" w:rsidRDefault="00461147" w:rsidP="00461147">
            <w:pPr>
              <w:keepLines/>
              <w:spacing w:after="0" w:line="240" w:lineRule="exact"/>
              <w:outlineLvl w:val="3"/>
              <w:rPr>
                <w:rFonts w:ascii="Tahoma Bold" w:hAnsi="Tahoma Bold"/>
                <w:b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461147">
              <w:rPr>
                <w:rFonts w:ascii="Tahoma Bold" w:hAnsi="Tahoma Bold"/>
                <w:b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CA52BF7" w14:textId="77777777" w:rsidR="00461147" w:rsidRPr="00461147" w:rsidRDefault="00461147" w:rsidP="00461147">
            <w:pPr>
              <w:keepLines/>
              <w:framePr w:wrap="around" w:vAnchor="text" w:hAnchor="text" w:y="15"/>
              <w:spacing w:after="0" w:line="240" w:lineRule="exact"/>
              <w:outlineLvl w:val="5"/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</w:pPr>
            <w:r w:rsidRPr="00461147"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  <w:t>Feedback</w:t>
            </w:r>
          </w:p>
        </w:tc>
      </w:tr>
      <w:tr w:rsidR="00461147" w:rsidRPr="00461147" w14:paraId="69651937" w14:textId="77777777" w:rsidTr="003C147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A09BAE0" w14:textId="77777777" w:rsidR="00461147" w:rsidRDefault="004A68DF" w:rsidP="00461147">
            <w:pPr>
              <w:spacing w:after="0" w:line="240" w:lineRule="auto"/>
            </w:pPr>
            <w:r>
              <w:t>Contributor forced outage impacts and proposed solution</w:t>
            </w:r>
          </w:p>
          <w:p w14:paraId="658769B4" w14:textId="0FCC41EC" w:rsidR="007B06CF" w:rsidRPr="00461147" w:rsidRDefault="007B06CF" w:rsidP="00461147">
            <w:pPr>
              <w:spacing w:after="0"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sdt>
            <w:sdtPr>
              <w:id w:val="-1663465533"/>
              <w:placeholder>
                <w:docPart w:val="5BB657AC933B450C9BDC46219532F0F3"/>
              </w:placeholder>
              <w:showingPlcHdr/>
              <w:text/>
            </w:sdtPr>
            <w:sdtContent>
              <w:p w14:paraId="59443521" w14:textId="77777777" w:rsidR="000C2BED" w:rsidRDefault="000C2BED" w:rsidP="000C2BED">
                <w:pPr>
                  <w:pStyle w:val="BodyText"/>
                  <w:rPr>
                    <w:color w:val="auto"/>
                    <w:lang w:eastAsia="en-US"/>
                    <w14:numForm w14:val="default"/>
                    <w14:numSpacing w14:val="default"/>
                  </w:rPr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EEFCCE" w14:textId="22E88CC4" w:rsidR="00461147" w:rsidRPr="00461147" w:rsidRDefault="00461147" w:rsidP="00461147"/>
        </w:tc>
      </w:tr>
      <w:tr w:rsidR="00461147" w:rsidRPr="00461147" w14:paraId="40800560" w14:textId="77777777" w:rsidTr="003C147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F11C59F" w14:textId="77777777" w:rsidR="00461147" w:rsidRDefault="004A68DF" w:rsidP="00461147">
            <w:pPr>
              <w:spacing w:after="0" w:line="240" w:lineRule="auto"/>
            </w:pPr>
            <w:r>
              <w:t>Contributor-level application of baseline and findings</w:t>
            </w:r>
          </w:p>
          <w:p w14:paraId="66853D87" w14:textId="4E78102F" w:rsidR="007B06CF" w:rsidRPr="00461147" w:rsidRDefault="007B06CF" w:rsidP="00461147">
            <w:pPr>
              <w:spacing w:after="0"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sdt>
            <w:sdtPr>
              <w:id w:val="-1189671492"/>
              <w:placeholder>
                <w:docPart w:val="00ED43BB7B594462854DDE7FE87D72C8"/>
              </w:placeholder>
              <w:showingPlcHdr/>
              <w:text/>
            </w:sdtPr>
            <w:sdtContent>
              <w:p w14:paraId="1304F5E4" w14:textId="77777777" w:rsidR="000C2BED" w:rsidRDefault="000C2BED" w:rsidP="000C2BED">
                <w:pPr>
                  <w:pStyle w:val="BodyTex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64920" w14:textId="70377259" w:rsidR="00461147" w:rsidRPr="00461147" w:rsidRDefault="00461147" w:rsidP="000C2BED"/>
        </w:tc>
      </w:tr>
    </w:tbl>
    <w:p w14:paraId="58BF053B" w14:textId="77777777" w:rsidR="00461147" w:rsidRPr="00461147" w:rsidRDefault="00461147" w:rsidP="00461147">
      <w:pPr>
        <w:rPr>
          <w:noProof/>
          <w:color w:val="000000" w:themeColor="text1"/>
          <w:u w:color="8CD2F3" w:themeColor="background2"/>
          <w14:numForm w14:val="lining"/>
          <w14:numSpacing w14:val="tabular"/>
        </w:rPr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  <w:bookmarkStart w:id="1" w:name="_GoBack"/>
      <w:bookmarkEnd w:id="1"/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089B" w14:textId="77777777" w:rsidR="00AE265D" w:rsidRDefault="00AE265D" w:rsidP="00F83314">
      <w:r>
        <w:separator/>
      </w:r>
    </w:p>
    <w:p w14:paraId="0C4BED2A" w14:textId="77777777" w:rsidR="00AE265D" w:rsidRDefault="00AE265D"/>
  </w:endnote>
  <w:endnote w:type="continuationSeparator" w:id="0">
    <w:p w14:paraId="4DFCDA94" w14:textId="77777777" w:rsidR="00AE265D" w:rsidRDefault="00AE265D" w:rsidP="00F83314">
      <w:r>
        <w:continuationSeparator/>
      </w:r>
    </w:p>
    <w:p w14:paraId="785A2FC9" w14:textId="77777777" w:rsidR="00AE265D" w:rsidRDefault="00AE2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AB3AB3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2BE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DCE1905" w:rsidR="00C6016F" w:rsidRDefault="0038182C" w:rsidP="00871E07">
    <w:pPr>
      <w:pStyle w:val="Footer"/>
      <w:ind w:right="360"/>
    </w:pPr>
    <w:r>
      <w:t>Resource Adequacy</w:t>
    </w:r>
    <w:r w:rsidR="00FC7434">
      <w:t xml:space="preserve">, </w:t>
    </w:r>
    <w:r>
      <w:t>15</w:t>
    </w:r>
    <w:r w:rsidR="00FC7434">
      <w:t>/</w:t>
    </w:r>
    <w:r>
      <w:t>December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6C956B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C2BE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1475" w14:textId="77777777" w:rsidR="00AE265D" w:rsidRDefault="00AE265D">
      <w:r>
        <w:separator/>
      </w:r>
    </w:p>
  </w:footnote>
  <w:footnote w:type="continuationSeparator" w:id="0">
    <w:p w14:paraId="57BF6330" w14:textId="77777777" w:rsidR="00AE265D" w:rsidRDefault="00AE265D" w:rsidP="00F83314">
      <w:r>
        <w:continuationSeparator/>
      </w:r>
    </w:p>
    <w:p w14:paraId="644D019A" w14:textId="77777777" w:rsidR="00AE265D" w:rsidRDefault="00AE2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EB6F65"/>
    <w:multiLevelType w:val="hybridMultilevel"/>
    <w:tmpl w:val="AD44A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2BED"/>
    <w:rsid w:val="000C382A"/>
    <w:rsid w:val="000C4332"/>
    <w:rsid w:val="000D38EC"/>
    <w:rsid w:val="000D52E1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0067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182C"/>
    <w:rsid w:val="00383086"/>
    <w:rsid w:val="00390B42"/>
    <w:rsid w:val="00391AA6"/>
    <w:rsid w:val="003C1479"/>
    <w:rsid w:val="003C7EEB"/>
    <w:rsid w:val="003D0BE4"/>
    <w:rsid w:val="003D5033"/>
    <w:rsid w:val="003D506F"/>
    <w:rsid w:val="003D599A"/>
    <w:rsid w:val="003E040F"/>
    <w:rsid w:val="003E4020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1147"/>
    <w:rsid w:val="00482219"/>
    <w:rsid w:val="00497849"/>
    <w:rsid w:val="004A68DF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2D99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06CF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4DE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26EE0"/>
    <w:rsid w:val="00A315B3"/>
    <w:rsid w:val="00A33566"/>
    <w:rsid w:val="00A4096B"/>
    <w:rsid w:val="00A54D55"/>
    <w:rsid w:val="00A57C08"/>
    <w:rsid w:val="00A60FEE"/>
    <w:rsid w:val="00A642AA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0B1C"/>
    <w:rsid w:val="00AE23ED"/>
    <w:rsid w:val="00AE265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10D48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5E98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866A0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BBE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46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AE0B1C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AE0B1C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A33566"/>
    <w:pPr>
      <w:keepLines/>
      <w:spacing w:line="240" w:lineRule="exact"/>
      <w:jc w:val="center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9564DE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Resource-Adequacy-Enga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D43BB7B594462854DDE7FE87D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A874-B291-47FC-B76B-D1CF9538B137}"/>
      </w:docPartPr>
      <w:docPartBody>
        <w:p w:rsidR="00000000" w:rsidRDefault="00F56F72" w:rsidP="00F56F72">
          <w:pPr>
            <w:pStyle w:val="00ED43BB7B594462854DDE7FE87D72C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657AC933B450C9BDC46219532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871E-4E5F-4A23-9965-D477424D277E}"/>
      </w:docPartPr>
      <w:docPartBody>
        <w:p w:rsidR="00000000" w:rsidRDefault="00F56F72" w:rsidP="00F56F72">
          <w:pPr>
            <w:pStyle w:val="5BB657AC933B450C9BDC46219532F0F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30B1B"/>
    <w:rsid w:val="00525F43"/>
    <w:rsid w:val="00675B07"/>
    <w:rsid w:val="006B7801"/>
    <w:rsid w:val="00AD64A6"/>
    <w:rsid w:val="00B513C0"/>
    <w:rsid w:val="00B85590"/>
    <w:rsid w:val="00CB5C67"/>
    <w:rsid w:val="00CF3BA7"/>
    <w:rsid w:val="00F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F72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86AB7B047CC4299B19B56966BAF3F57">
    <w:name w:val="486AB7B047CC4299B19B56966BAF3F57"/>
    <w:rsid w:val="00B85590"/>
  </w:style>
  <w:style w:type="paragraph" w:customStyle="1" w:styleId="E30324DAAC464C2FBEAACDCD1F49388D">
    <w:name w:val="E30324DAAC464C2FBEAACDCD1F49388D"/>
    <w:rsid w:val="00B85590"/>
  </w:style>
  <w:style w:type="paragraph" w:customStyle="1" w:styleId="0B1B001056E24F61814510C536960550">
    <w:name w:val="0B1B001056E24F61814510C536960550"/>
    <w:rsid w:val="00B85590"/>
  </w:style>
  <w:style w:type="paragraph" w:customStyle="1" w:styleId="960C1564BEBC405FA07BF1764249012E">
    <w:name w:val="960C1564BEBC405FA07BF1764249012E"/>
    <w:rsid w:val="00B85590"/>
  </w:style>
  <w:style w:type="paragraph" w:customStyle="1" w:styleId="371710540A9E433B95E60119DFF2DC4E">
    <w:name w:val="371710540A9E433B95E60119DFF2DC4E"/>
    <w:rsid w:val="00B85590"/>
  </w:style>
  <w:style w:type="paragraph" w:customStyle="1" w:styleId="B58BD0396266417E9001642A6E2ECF07">
    <w:name w:val="B58BD0396266417E9001642A6E2ECF07"/>
    <w:rsid w:val="00B85590"/>
  </w:style>
  <w:style w:type="paragraph" w:customStyle="1" w:styleId="C02949FBDE4D428FAF04B97327EB97F6">
    <w:name w:val="C02949FBDE4D428FAF04B97327EB97F6"/>
    <w:rsid w:val="00B85590"/>
  </w:style>
  <w:style w:type="paragraph" w:customStyle="1" w:styleId="A08736C026EB4FF081B800B9FDDF27F4">
    <w:name w:val="A08736C026EB4FF081B800B9FDDF27F4"/>
    <w:rsid w:val="00B85590"/>
  </w:style>
  <w:style w:type="paragraph" w:customStyle="1" w:styleId="B667F8C639554D56B39B358CD033CE5D">
    <w:name w:val="B667F8C639554D56B39B358CD033CE5D"/>
    <w:rsid w:val="00B85590"/>
  </w:style>
  <w:style w:type="paragraph" w:customStyle="1" w:styleId="0765E0B108464A3E8F07AD5DFF417004">
    <w:name w:val="0765E0B108464A3E8F07AD5DFF417004"/>
    <w:rsid w:val="00B85590"/>
  </w:style>
  <w:style w:type="paragraph" w:customStyle="1" w:styleId="E3706464E9054EFC83032416347547B8">
    <w:name w:val="E3706464E9054EFC83032416347547B8"/>
    <w:rsid w:val="00B85590"/>
  </w:style>
  <w:style w:type="paragraph" w:customStyle="1" w:styleId="1C14BA573FFC45F2A19E2225AFA4246F">
    <w:name w:val="1C14BA573FFC45F2A19E2225AFA4246F"/>
    <w:rsid w:val="00B85590"/>
  </w:style>
  <w:style w:type="paragraph" w:customStyle="1" w:styleId="A1A862438B854A508673AECA435EB065">
    <w:name w:val="A1A862438B854A508673AECA435EB065"/>
    <w:rsid w:val="00B85590"/>
  </w:style>
  <w:style w:type="paragraph" w:customStyle="1" w:styleId="5C6847C802E2474D8FEC4F14B7A3218F">
    <w:name w:val="5C6847C802E2474D8FEC4F14B7A3218F"/>
    <w:rsid w:val="00B85590"/>
  </w:style>
  <w:style w:type="paragraph" w:customStyle="1" w:styleId="F78DFEF362484EFFBC05C32387B6FB47">
    <w:name w:val="F78DFEF362484EFFBC05C32387B6FB47"/>
    <w:rsid w:val="00B85590"/>
  </w:style>
  <w:style w:type="paragraph" w:customStyle="1" w:styleId="74F2EEC2C028415CB07AAD9725B1626D">
    <w:name w:val="74F2EEC2C028415CB07AAD9725B1626D"/>
    <w:rsid w:val="00B85590"/>
  </w:style>
  <w:style w:type="paragraph" w:customStyle="1" w:styleId="4BD96302143F4CA8A6CE97D000C7CC2C">
    <w:name w:val="4BD96302143F4CA8A6CE97D000C7CC2C"/>
    <w:rsid w:val="00B85590"/>
  </w:style>
  <w:style w:type="paragraph" w:customStyle="1" w:styleId="1047E3B408FB4B67A1904785DFD3A99E">
    <w:name w:val="1047E3B408FB4B67A1904785DFD3A99E"/>
    <w:rsid w:val="00B85590"/>
  </w:style>
  <w:style w:type="paragraph" w:customStyle="1" w:styleId="E65CB107075642A18AFD79C0C1089131">
    <w:name w:val="E65CB107075642A18AFD79C0C1089131"/>
    <w:rsid w:val="00B85590"/>
  </w:style>
  <w:style w:type="paragraph" w:customStyle="1" w:styleId="DD8D61DEACAC43839167A198C6585500">
    <w:name w:val="DD8D61DEACAC43839167A198C6585500"/>
    <w:rsid w:val="00B85590"/>
  </w:style>
  <w:style w:type="paragraph" w:customStyle="1" w:styleId="C29301DAF4164104847C517F94B3D2A1">
    <w:name w:val="C29301DAF4164104847C517F94B3D2A1"/>
    <w:rsid w:val="00B85590"/>
  </w:style>
  <w:style w:type="paragraph" w:customStyle="1" w:styleId="A98E0D36C5B049498C4A138E0014393B">
    <w:name w:val="A98E0D36C5B049498C4A138E0014393B"/>
    <w:rsid w:val="00B85590"/>
  </w:style>
  <w:style w:type="paragraph" w:customStyle="1" w:styleId="E0C4AEBC82DC47E89BBD018F9B3B7DCF">
    <w:name w:val="E0C4AEBC82DC47E89BBD018F9B3B7DCF"/>
    <w:rsid w:val="00B85590"/>
  </w:style>
  <w:style w:type="paragraph" w:customStyle="1" w:styleId="DF18DCB133C44C3897FBA099A83740A0">
    <w:name w:val="DF18DCB133C44C3897FBA099A83740A0"/>
    <w:rsid w:val="00B85590"/>
  </w:style>
  <w:style w:type="paragraph" w:customStyle="1" w:styleId="C541CEDA2B8143FE8056A45198649B68">
    <w:name w:val="C541CEDA2B8143FE8056A45198649B68"/>
    <w:rsid w:val="00675B07"/>
  </w:style>
  <w:style w:type="paragraph" w:customStyle="1" w:styleId="467F1706C76540589BEAEC5A8096C544">
    <w:name w:val="467F1706C76540589BEAEC5A8096C544"/>
    <w:rsid w:val="00675B07"/>
  </w:style>
  <w:style w:type="paragraph" w:customStyle="1" w:styleId="1B07C0A11A67473883449421D94FD43C">
    <w:name w:val="1B07C0A11A67473883449421D94FD43C"/>
    <w:rsid w:val="00675B07"/>
  </w:style>
  <w:style w:type="paragraph" w:customStyle="1" w:styleId="C822E1B7825647DE93DC4AC9070301E1">
    <w:name w:val="C822E1B7825647DE93DC4AC9070301E1"/>
    <w:rsid w:val="00675B07"/>
  </w:style>
  <w:style w:type="paragraph" w:customStyle="1" w:styleId="0EC0050B37A044CEA1F0B74E0F28CBBB">
    <w:name w:val="0EC0050B37A044CEA1F0B74E0F28CBBB"/>
    <w:rsid w:val="00675B07"/>
  </w:style>
  <w:style w:type="paragraph" w:customStyle="1" w:styleId="881A45DE6CF64E819681B9E301F9FA54">
    <w:name w:val="881A45DE6CF64E819681B9E301F9FA54"/>
    <w:rsid w:val="00675B07"/>
  </w:style>
  <w:style w:type="paragraph" w:customStyle="1" w:styleId="660BC42330EF4D98A17ADC84916F6B2B">
    <w:name w:val="660BC42330EF4D98A17ADC84916F6B2B"/>
    <w:rsid w:val="00675B07"/>
  </w:style>
  <w:style w:type="paragraph" w:customStyle="1" w:styleId="F023EE153CF44831B12974E26B7F1773">
    <w:name w:val="F023EE153CF44831B12974E26B7F1773"/>
    <w:rsid w:val="00675B07"/>
  </w:style>
  <w:style w:type="paragraph" w:customStyle="1" w:styleId="D3F81F6B9A304ADC83BA73241F8B45DB">
    <w:name w:val="D3F81F6B9A304ADC83BA73241F8B45DB"/>
    <w:rsid w:val="00675B07"/>
  </w:style>
  <w:style w:type="paragraph" w:customStyle="1" w:styleId="BE40B60735DC41838F747EC3D518ACE7">
    <w:name w:val="BE40B60735DC41838F747EC3D518ACE7"/>
    <w:rsid w:val="00675B07"/>
  </w:style>
  <w:style w:type="paragraph" w:customStyle="1" w:styleId="4F5AC61E19A24691906E82DB7ABE2768">
    <w:name w:val="4F5AC61E19A24691906E82DB7ABE2768"/>
    <w:rsid w:val="00675B07"/>
  </w:style>
  <w:style w:type="paragraph" w:customStyle="1" w:styleId="6DB5F123DE694F05918B48CF65FC00BE">
    <w:name w:val="6DB5F123DE694F05918B48CF65FC00BE"/>
    <w:rsid w:val="00675B07"/>
  </w:style>
  <w:style w:type="paragraph" w:customStyle="1" w:styleId="6AC446E46B354777A7CE226D2BCF22F8">
    <w:name w:val="6AC446E46B354777A7CE226D2BCF22F8"/>
    <w:rsid w:val="00675B07"/>
  </w:style>
  <w:style w:type="paragraph" w:customStyle="1" w:styleId="991F472903DB4B44A31AD330433B7167">
    <w:name w:val="991F472903DB4B44A31AD330433B7167"/>
    <w:rsid w:val="00675B07"/>
  </w:style>
  <w:style w:type="paragraph" w:customStyle="1" w:styleId="C3D640D06BF2408A86456652F71584DB">
    <w:name w:val="C3D640D06BF2408A86456652F71584DB"/>
    <w:rsid w:val="00675B07"/>
  </w:style>
  <w:style w:type="paragraph" w:customStyle="1" w:styleId="96BC5C86270544DBB027560AB4274C0F">
    <w:name w:val="96BC5C86270544DBB027560AB4274C0F"/>
    <w:rsid w:val="00675B07"/>
  </w:style>
  <w:style w:type="paragraph" w:customStyle="1" w:styleId="1D4ED9B08CB2444A86A3A8F65833B5C2">
    <w:name w:val="1D4ED9B08CB2444A86A3A8F65833B5C2"/>
    <w:rsid w:val="00675B07"/>
  </w:style>
  <w:style w:type="paragraph" w:customStyle="1" w:styleId="04A82E9298D047E2A96CD9EEEE304B5D">
    <w:name w:val="04A82E9298D047E2A96CD9EEEE304B5D"/>
    <w:rsid w:val="00675B07"/>
  </w:style>
  <w:style w:type="paragraph" w:customStyle="1" w:styleId="AA768E983A7D419CAC3BF3BD7D589ABA">
    <w:name w:val="AA768E983A7D419CAC3BF3BD7D589ABA"/>
    <w:rsid w:val="00675B07"/>
  </w:style>
  <w:style w:type="paragraph" w:customStyle="1" w:styleId="A9C4D1D8089E4EBF8ED912046477228E">
    <w:name w:val="A9C4D1D8089E4EBF8ED912046477228E"/>
    <w:rsid w:val="00675B07"/>
  </w:style>
  <w:style w:type="paragraph" w:customStyle="1" w:styleId="B3E36309814D49D49DD76BB2D64A9FD5">
    <w:name w:val="B3E36309814D49D49DD76BB2D64A9FD5"/>
    <w:rsid w:val="00675B07"/>
  </w:style>
  <w:style w:type="paragraph" w:customStyle="1" w:styleId="00ED43BB7B594462854DDE7FE87D72C8">
    <w:name w:val="00ED43BB7B594462854DDE7FE87D72C8"/>
    <w:rsid w:val="00F56F72"/>
  </w:style>
  <w:style w:type="paragraph" w:customStyle="1" w:styleId="5BB657AC933B450C9BDC46219532F0F3">
    <w:name w:val="5BB657AC933B450C9BDC46219532F0F3"/>
    <w:rsid w:val="00F56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2A5121-B6D6-4B80-86CD-EEA47E212B89}">
  <ds:schemaRefs>
    <ds:schemaRef ds:uri="http://schemas.openxmlformats.org/package/2006/metadata/core-properties"/>
    <ds:schemaRef ds:uri="973cce62-d354-49ee-a291-01c731dc792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C6A4B-9143-4407-8388-32863FF4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Adequacy – December 15 Hourly Demand Response: Baseline Methodology Review and Contributor Management Feedback</vt:lpstr>
    </vt:vector>
  </TitlesOfParts>
  <Manager/>
  <Company>Independent Electricity System Operator</Company>
  <LinksUpToDate>false</LinksUpToDate>
  <CharactersWithSpaces>1705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Adequacy – December 15 Hourly Demand Response: Baseline Methodology Review and Contributor Management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2021-12-17T15:51:00Z</dcterms:created>
  <dcterms:modified xsi:type="dcterms:W3CDTF">2021-12-17T15:55:00Z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