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C7C9" w14:textId="77777777" w:rsidR="001607AF" w:rsidRDefault="001607AF"/>
    <w:p w14:paraId="1F0F49B5" w14:textId="77777777" w:rsidR="001607AF" w:rsidRDefault="001607AF"/>
    <w:p w14:paraId="288B5682" w14:textId="77777777" w:rsidR="001607AF" w:rsidRDefault="00160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6"/>
        <w:gridCol w:w="8934"/>
      </w:tblGrid>
      <w:tr w:rsidR="005C39B0" w:rsidRPr="008F6C57" w14:paraId="7273DD87" w14:textId="77777777" w:rsidTr="00AA672E">
        <w:trPr>
          <w:trHeight w:val="1448"/>
        </w:trPr>
        <w:tc>
          <w:tcPr>
            <w:tcW w:w="4068" w:type="dxa"/>
          </w:tcPr>
          <w:p w14:paraId="5E64626F" w14:textId="77777777" w:rsidR="005C39B0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Date Submitted</w:t>
            </w:r>
            <w:r w:rsidRPr="008F6C57">
              <w:rPr>
                <w:rFonts w:ascii="Palatino Linotype" w:hAnsi="Palatino Linotype"/>
                <w:b/>
                <w:sz w:val="24"/>
              </w:rPr>
              <w:t>:</w:t>
            </w:r>
            <w:r w:rsidRPr="008F6C57">
              <w:rPr>
                <w:rFonts w:ascii="Palatino Linotype" w:hAnsi="Palatino Linotype"/>
                <w:sz w:val="24"/>
              </w:rPr>
              <w:t xml:space="preserve"> </w:t>
            </w:r>
          </w:p>
          <w:p w14:paraId="4C211257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i/>
                <w:color w:val="4F81BD" w:themeColor="accent1"/>
                <w:sz w:val="24"/>
              </w:rPr>
              <w:t>YYYY/MM/DD</w:t>
            </w:r>
          </w:p>
        </w:tc>
        <w:tc>
          <w:tcPr>
            <w:tcW w:w="9108" w:type="dxa"/>
          </w:tcPr>
          <w:p w14:paraId="2BC98187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b/>
                <w:sz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 xml:space="preserve">Feedback Provided </w:t>
            </w:r>
            <w:proofErr w:type="gramStart"/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By</w:t>
            </w:r>
            <w:proofErr w:type="gramEnd"/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:</w:t>
            </w:r>
          </w:p>
          <w:p w14:paraId="6C7ADD6D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Organization</w:t>
            </w:r>
            <w:r w:rsidRPr="008F6C57">
              <w:rPr>
                <w:rFonts w:ascii="Palatino Linotype" w:hAnsi="Palatino Linotype"/>
                <w:sz w:val="24"/>
              </w:rPr>
              <w:t>:</w:t>
            </w:r>
            <w:r>
              <w:rPr>
                <w:rFonts w:ascii="Palatino Linotype" w:hAnsi="Palatino Linotype"/>
                <w:sz w:val="24"/>
              </w:rPr>
              <w:t xml:space="preserve"> </w:t>
            </w:r>
          </w:p>
          <w:p w14:paraId="408D8014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Main </w:t>
            </w:r>
            <w:r w:rsidRPr="008F6C57">
              <w:rPr>
                <w:rFonts w:ascii="Palatino Linotype" w:hAnsi="Palatino Linotype"/>
                <w:sz w:val="24"/>
              </w:rPr>
              <w:t xml:space="preserve">Contact: </w:t>
            </w:r>
          </w:p>
          <w:p w14:paraId="0F77653F" w14:textId="77777777" w:rsidR="005C39B0" w:rsidRPr="008F6C57" w:rsidRDefault="005C39B0" w:rsidP="00AA672E">
            <w:pPr>
              <w:spacing w:after="120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 xml:space="preserve">Email: </w:t>
            </w:r>
          </w:p>
        </w:tc>
      </w:tr>
    </w:tbl>
    <w:p w14:paraId="50C9879D" w14:textId="77777777" w:rsidR="005C39B0" w:rsidRDefault="005C39B0" w:rsidP="00862ABC">
      <w:pPr>
        <w:rPr>
          <w:sz w:val="24"/>
        </w:rPr>
      </w:pPr>
    </w:p>
    <w:p w14:paraId="1795128E" w14:textId="011E73E1" w:rsidR="00885220" w:rsidRDefault="00862ABC" w:rsidP="00862ABC">
      <w:pPr>
        <w:rPr>
          <w:sz w:val="24"/>
        </w:rPr>
      </w:pPr>
      <w:r w:rsidRPr="00862ABC">
        <w:rPr>
          <w:sz w:val="24"/>
        </w:rPr>
        <w:t xml:space="preserve">Following the </w:t>
      </w:r>
      <w:r w:rsidR="00147B0D">
        <w:rPr>
          <w:sz w:val="24"/>
        </w:rPr>
        <w:t>March 13</w:t>
      </w:r>
      <w:r w:rsidR="00AA205E">
        <w:rPr>
          <w:sz w:val="24"/>
        </w:rPr>
        <w:t>, 20</w:t>
      </w:r>
      <w:r w:rsidR="00147B0D">
        <w:rPr>
          <w:sz w:val="24"/>
        </w:rPr>
        <w:t>20</w:t>
      </w:r>
      <w:r w:rsidR="00544CE2">
        <w:rPr>
          <w:sz w:val="24"/>
        </w:rPr>
        <w:t xml:space="preserve"> </w:t>
      </w:r>
      <w:r w:rsidR="00147B0D">
        <w:rPr>
          <w:sz w:val="24"/>
        </w:rPr>
        <w:t>Regional Planning Process Review</w:t>
      </w:r>
      <w:r w:rsidR="005856E3">
        <w:rPr>
          <w:sz w:val="24"/>
        </w:rPr>
        <w:t xml:space="preserve"> </w:t>
      </w:r>
      <w:r w:rsidR="0052398B">
        <w:rPr>
          <w:sz w:val="24"/>
        </w:rPr>
        <w:t xml:space="preserve">Straw Man Design </w:t>
      </w:r>
      <w:r w:rsidR="005856E3">
        <w:rPr>
          <w:sz w:val="24"/>
        </w:rPr>
        <w:t>webinar</w:t>
      </w:r>
      <w:r w:rsidR="008627E4">
        <w:rPr>
          <w:sz w:val="24"/>
        </w:rPr>
        <w:t>,</w:t>
      </w:r>
      <w:r w:rsidRPr="00862ABC">
        <w:rPr>
          <w:sz w:val="24"/>
        </w:rPr>
        <w:t xml:space="preserve"> the Independent Electricity System Operator (IESO) is seeking feedback from participants on </w:t>
      </w:r>
      <w:r w:rsidR="008627E4">
        <w:rPr>
          <w:sz w:val="24"/>
        </w:rPr>
        <w:t>the</w:t>
      </w:r>
      <w:r w:rsidR="005856E3">
        <w:rPr>
          <w:sz w:val="24"/>
        </w:rPr>
        <w:t xml:space="preserve"> </w:t>
      </w:r>
      <w:r w:rsidR="00147B0D">
        <w:rPr>
          <w:sz w:val="24"/>
        </w:rPr>
        <w:t>recommendations and proposed actions for enhancements to the regional planning process identified in the Straw Man Design</w:t>
      </w:r>
      <w:r w:rsidRPr="00862ABC">
        <w:rPr>
          <w:sz w:val="24"/>
        </w:rPr>
        <w:t>.</w:t>
      </w:r>
      <w:r w:rsidR="004E4281">
        <w:rPr>
          <w:sz w:val="24"/>
        </w:rPr>
        <w:t xml:space="preserve"> </w:t>
      </w:r>
      <w:r w:rsidR="00CB3A43">
        <w:rPr>
          <w:sz w:val="24"/>
        </w:rPr>
        <w:t>The presentation</w:t>
      </w:r>
      <w:r w:rsidR="00147B0D">
        <w:rPr>
          <w:sz w:val="24"/>
        </w:rPr>
        <w:t xml:space="preserve"> and Straw Man Design document</w:t>
      </w:r>
      <w:r w:rsidR="00CB3A43">
        <w:rPr>
          <w:sz w:val="24"/>
        </w:rPr>
        <w:t xml:space="preserve"> can be </w:t>
      </w:r>
      <w:r w:rsidR="00977506">
        <w:rPr>
          <w:sz w:val="24"/>
        </w:rPr>
        <w:t>accessed from</w:t>
      </w:r>
      <w:r w:rsidR="00824090">
        <w:rPr>
          <w:sz w:val="24"/>
        </w:rPr>
        <w:t xml:space="preserve"> the</w:t>
      </w:r>
      <w:r w:rsidR="00147B0D">
        <w:rPr>
          <w:sz w:val="24"/>
        </w:rPr>
        <w:t xml:space="preserve"> stakeholder engagement</w:t>
      </w:r>
      <w:r w:rsidR="00824090">
        <w:rPr>
          <w:sz w:val="24"/>
        </w:rPr>
        <w:t xml:space="preserve"> </w:t>
      </w:r>
      <w:hyperlink r:id="rId13" w:history="1">
        <w:r w:rsidR="005856E3" w:rsidRPr="005856E3">
          <w:rPr>
            <w:rStyle w:val="Hyperlink"/>
            <w:sz w:val="24"/>
          </w:rPr>
          <w:t>webpage</w:t>
        </w:r>
      </w:hyperlink>
      <w:r w:rsidR="005856E3">
        <w:rPr>
          <w:sz w:val="24"/>
        </w:rPr>
        <w:t xml:space="preserve"> for this </w:t>
      </w:r>
      <w:r w:rsidR="00147B0D">
        <w:rPr>
          <w:sz w:val="24"/>
        </w:rPr>
        <w:t>initiative</w:t>
      </w:r>
      <w:r w:rsidR="00824090">
        <w:rPr>
          <w:sz w:val="24"/>
        </w:rPr>
        <w:t>.</w:t>
      </w:r>
      <w:r w:rsidR="00885220">
        <w:rPr>
          <w:sz w:val="24"/>
        </w:rPr>
        <w:t xml:space="preserve"> </w:t>
      </w:r>
    </w:p>
    <w:p w14:paraId="4CF57CE5" w14:textId="77777777" w:rsidR="00885220" w:rsidRDefault="00885220" w:rsidP="00862ABC">
      <w:pPr>
        <w:rPr>
          <w:sz w:val="24"/>
        </w:rPr>
      </w:pPr>
    </w:p>
    <w:p w14:paraId="00C53696" w14:textId="5156F222" w:rsidR="000E377E" w:rsidRPr="00885220" w:rsidRDefault="00862ABC" w:rsidP="00862ABC">
      <w:pPr>
        <w:rPr>
          <w:sz w:val="24"/>
        </w:rPr>
      </w:pPr>
      <w:r w:rsidRPr="0081391E">
        <w:rPr>
          <w:b/>
          <w:sz w:val="24"/>
          <w:szCs w:val="24"/>
        </w:rPr>
        <w:t xml:space="preserve">Please </w:t>
      </w:r>
      <w:r w:rsidR="00885220">
        <w:rPr>
          <w:b/>
          <w:sz w:val="24"/>
          <w:szCs w:val="24"/>
        </w:rPr>
        <w:t>submit</w:t>
      </w:r>
      <w:r w:rsidRPr="0081391E">
        <w:rPr>
          <w:b/>
          <w:sz w:val="24"/>
          <w:szCs w:val="24"/>
        </w:rPr>
        <w:t xml:space="preserve"> feedback to</w:t>
      </w:r>
      <w:r>
        <w:rPr>
          <w:b/>
          <w:sz w:val="24"/>
          <w:szCs w:val="24"/>
        </w:rPr>
        <w:t xml:space="preserve"> </w:t>
      </w:r>
      <w:hyperlink r:id="rId14" w:history="1">
        <w:r w:rsidRPr="00595F70">
          <w:rPr>
            <w:rStyle w:val="Hyperlink"/>
            <w:b/>
            <w:sz w:val="24"/>
            <w:szCs w:val="24"/>
          </w:rPr>
          <w:t>engagement@ieso.ca</w:t>
        </w:r>
      </w:hyperlink>
      <w:r w:rsidR="00EC6935" w:rsidRPr="00EC6935">
        <w:t xml:space="preserve"> </w:t>
      </w:r>
      <w:r w:rsidR="00147B0D" w:rsidRPr="00147B0D">
        <w:rPr>
          <w:b/>
          <w:sz w:val="24"/>
          <w:szCs w:val="24"/>
        </w:rPr>
        <w:t>using this feedback form</w:t>
      </w:r>
      <w:r w:rsidR="00147B0D">
        <w:t xml:space="preserve"> </w:t>
      </w:r>
      <w:r w:rsidR="00EC6935" w:rsidRPr="00EC6935">
        <w:rPr>
          <w:b/>
          <w:sz w:val="24"/>
          <w:szCs w:val="24"/>
        </w:rPr>
        <w:t xml:space="preserve">by </w:t>
      </w:r>
      <w:r w:rsidR="00147B0D">
        <w:rPr>
          <w:b/>
          <w:sz w:val="24"/>
          <w:szCs w:val="24"/>
        </w:rPr>
        <w:t>March 27</w:t>
      </w:r>
      <w:r w:rsidR="00EC6935" w:rsidRPr="00EC6935">
        <w:rPr>
          <w:b/>
          <w:sz w:val="24"/>
          <w:szCs w:val="24"/>
        </w:rPr>
        <w:t>, 20</w:t>
      </w:r>
      <w:r w:rsidR="005856E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  <w:r w:rsidRPr="006B2E96">
        <w:rPr>
          <w:b/>
          <w:sz w:val="24"/>
          <w:szCs w:val="24"/>
        </w:rPr>
        <w:t xml:space="preserve"> </w:t>
      </w:r>
      <w:r w:rsidR="00EE74B5">
        <w:rPr>
          <w:b/>
          <w:sz w:val="24"/>
          <w:szCs w:val="24"/>
        </w:rPr>
        <w:t xml:space="preserve">If you wish to provide confidential feedback, please submit as a separate feedback form, marked “Confidential”. </w:t>
      </w:r>
      <w:r w:rsidR="00EE74B5">
        <w:rPr>
          <w:sz w:val="24"/>
          <w:szCs w:val="24"/>
        </w:rPr>
        <w:t>Otherwi</w:t>
      </w:r>
      <w:r w:rsidR="00EE74B5" w:rsidRPr="00EE74B5">
        <w:rPr>
          <w:sz w:val="24"/>
          <w:szCs w:val="24"/>
        </w:rPr>
        <w:t>se, t</w:t>
      </w:r>
      <w:r w:rsidRPr="00EE74B5">
        <w:rPr>
          <w:sz w:val="24"/>
          <w:szCs w:val="24"/>
        </w:rPr>
        <w:t>o</w:t>
      </w:r>
      <w:r w:rsidRPr="001A6568">
        <w:rPr>
          <w:sz w:val="24"/>
          <w:szCs w:val="24"/>
        </w:rPr>
        <w:t xml:space="preserve"> promote transparency, thi</w:t>
      </w:r>
      <w:r w:rsidR="00544CE2">
        <w:rPr>
          <w:sz w:val="24"/>
          <w:szCs w:val="24"/>
        </w:rPr>
        <w:t>s feedback will be posted on the engagement webpage</w:t>
      </w:r>
      <w:r w:rsidRPr="001A6568">
        <w:rPr>
          <w:sz w:val="24"/>
          <w:szCs w:val="24"/>
        </w:rPr>
        <w:t xml:space="preserve"> unless otherwise requested by the sender.  </w:t>
      </w:r>
    </w:p>
    <w:p w14:paraId="28CBC05B" w14:textId="08502242" w:rsidR="00F249B7" w:rsidRDefault="00F249B7" w:rsidP="00862ABC">
      <w:pPr>
        <w:rPr>
          <w:sz w:val="24"/>
          <w:szCs w:val="24"/>
        </w:rPr>
      </w:pPr>
    </w:p>
    <w:p w14:paraId="20A28B64" w14:textId="28FEE204" w:rsidR="00436178" w:rsidRDefault="0052398B" w:rsidP="00782612">
      <w:pPr>
        <w:rPr>
          <w:sz w:val="24"/>
          <w:szCs w:val="24"/>
        </w:rPr>
      </w:pPr>
      <w:r>
        <w:rPr>
          <w:sz w:val="24"/>
          <w:szCs w:val="24"/>
        </w:rPr>
        <w:t>Feedback provided by this deadline will be considered in the development of the Regional Planning Process Review Final Report, which is expected to be released by the end of 2020.</w:t>
      </w:r>
    </w:p>
    <w:p w14:paraId="5531698D" w14:textId="77777777" w:rsidR="00436178" w:rsidRDefault="0043617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13685" w:type="dxa"/>
        <w:tblLook w:val="04A0" w:firstRow="1" w:lastRow="0" w:firstColumn="1" w:lastColumn="0" w:noHBand="0" w:noVBand="1"/>
      </w:tblPr>
      <w:tblGrid>
        <w:gridCol w:w="4765"/>
        <w:gridCol w:w="8920"/>
      </w:tblGrid>
      <w:tr w:rsidR="00DD7F9D" w:rsidRPr="00DD7F9D" w14:paraId="39CAF912" w14:textId="77777777" w:rsidTr="00360FF4">
        <w:trPr>
          <w:cantSplit/>
          <w:trHeight w:val="350"/>
        </w:trPr>
        <w:tc>
          <w:tcPr>
            <w:tcW w:w="136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469C9" w14:textId="5290EF68" w:rsidR="00DD7F9D" w:rsidRPr="004E033F" w:rsidRDefault="00147B0D" w:rsidP="002D0BE2">
            <w:pPr>
              <w:rPr>
                <w:u w:val="single"/>
              </w:rPr>
            </w:pPr>
            <w:bookmarkStart w:id="0" w:name="_GoBack"/>
            <w:bookmarkEnd w:id="0"/>
            <w:r w:rsidRPr="004E033F">
              <w:rPr>
                <w:b/>
                <w:u w:val="single"/>
              </w:rPr>
              <w:t>Part 1: Recommendations for improvements to process efficiency and flexibility</w:t>
            </w:r>
          </w:p>
        </w:tc>
      </w:tr>
      <w:tr w:rsidR="00DD7F9D" w:rsidRPr="00DD7F9D" w14:paraId="3F6EDD57" w14:textId="77777777" w:rsidTr="004E033F">
        <w:trPr>
          <w:cantSplit/>
          <w:trHeight w:val="144"/>
          <w:tblHeader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hideMark/>
          </w:tcPr>
          <w:p w14:paraId="3AC1F218" w14:textId="77777777" w:rsidR="00DD7F9D" w:rsidRPr="00DD7F9D" w:rsidRDefault="00DD7F9D" w:rsidP="00DD7F9D">
            <w:pPr>
              <w:rPr>
                <w:b/>
              </w:rPr>
            </w:pPr>
            <w:r w:rsidRPr="00DD7F9D">
              <w:rPr>
                <w:b/>
              </w:rPr>
              <w:t xml:space="preserve">Questions </w:t>
            </w:r>
          </w:p>
        </w:tc>
        <w:tc>
          <w:tcPr>
            <w:tcW w:w="8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hideMark/>
          </w:tcPr>
          <w:p w14:paraId="3D71524B" w14:textId="77777777" w:rsidR="00DD7F9D" w:rsidRPr="00DD7F9D" w:rsidRDefault="00DD7F9D" w:rsidP="00DD7F9D">
            <w:pPr>
              <w:rPr>
                <w:b/>
              </w:rPr>
            </w:pPr>
            <w:r w:rsidRPr="00DD7F9D">
              <w:rPr>
                <w:b/>
              </w:rPr>
              <w:t>Feedback</w:t>
            </w:r>
          </w:p>
        </w:tc>
      </w:tr>
      <w:tr w:rsidR="00DD7F9D" w:rsidRPr="00DD7F9D" w14:paraId="1B6B26E5" w14:textId="77777777" w:rsidTr="004E033F">
        <w:trPr>
          <w:cantSplit/>
          <w:trHeight w:val="620"/>
        </w:trPr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2122" w14:textId="10F14384" w:rsidR="00DD7F9D" w:rsidRPr="00DD7F9D" w:rsidRDefault="004E033F" w:rsidP="00DD7F9D">
            <w:r w:rsidRPr="004E033F">
              <w:t>Are there any gaps or deficiencies in the regional planning process that these recommendations do not address?</w:t>
            </w:r>
          </w:p>
        </w:tc>
        <w:tc>
          <w:tcPr>
            <w:tcW w:w="89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F5F5F5"/>
          </w:tcPr>
          <w:p w14:paraId="53B9D69D" w14:textId="77777777" w:rsidR="00DD7F9D" w:rsidRPr="00DD7F9D" w:rsidRDefault="00DD7F9D" w:rsidP="00DD7F9D"/>
        </w:tc>
      </w:tr>
      <w:tr w:rsidR="002D0BE2" w:rsidRPr="00DD7F9D" w14:paraId="70E68F35" w14:textId="77777777" w:rsidTr="004E033F">
        <w:trPr>
          <w:cantSplit/>
          <w:trHeight w:val="890"/>
        </w:trPr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BC83" w14:textId="4EFBCADF" w:rsidR="002D0BE2" w:rsidRPr="00DD7F9D" w:rsidRDefault="004E033F" w:rsidP="002D0BE2">
            <w:r w:rsidRPr="004E033F">
              <w:rPr>
                <w:lang w:val="en-US"/>
              </w:rPr>
              <w:t>Will the recommendations identified achieve the objectives of streamlining the regional planning process and improving coordination with other, related planning processes?</w:t>
            </w:r>
          </w:p>
        </w:tc>
        <w:tc>
          <w:tcPr>
            <w:tcW w:w="89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F5F5F5"/>
          </w:tcPr>
          <w:p w14:paraId="7C44A7CE" w14:textId="77777777" w:rsidR="002D0BE2" w:rsidRPr="00DD7F9D" w:rsidRDefault="002D0BE2" w:rsidP="00DD7F9D"/>
        </w:tc>
      </w:tr>
      <w:tr w:rsidR="00DD7F9D" w:rsidRPr="00DD7F9D" w14:paraId="73496D0C" w14:textId="77777777" w:rsidTr="00360FF4">
        <w:trPr>
          <w:cantSplit/>
          <w:trHeight w:val="368"/>
        </w:trPr>
        <w:tc>
          <w:tcPr>
            <w:tcW w:w="1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FDB35" w14:textId="0D247A2F" w:rsidR="00DD7F9D" w:rsidRPr="004E033F" w:rsidRDefault="004E033F" w:rsidP="004E033F">
            <w:pPr>
              <w:rPr>
                <w:b/>
                <w:u w:val="single"/>
              </w:rPr>
            </w:pPr>
            <w:r w:rsidRPr="004E033F">
              <w:rPr>
                <w:b/>
                <w:u w:val="single"/>
              </w:rPr>
              <w:t>Part 2: Recommendations to develop a long-term approach to replacing transmission assets at end of life</w:t>
            </w:r>
          </w:p>
        </w:tc>
      </w:tr>
      <w:tr w:rsidR="00DD7F9D" w:rsidRPr="00DD7F9D" w14:paraId="0934E13E" w14:textId="77777777" w:rsidTr="004E033F">
        <w:trPr>
          <w:cantSplit/>
          <w:trHeight w:val="144"/>
          <w:tblHeader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hideMark/>
          </w:tcPr>
          <w:p w14:paraId="62E95BAB" w14:textId="77777777" w:rsidR="00DD7F9D" w:rsidRPr="00DD7F9D" w:rsidRDefault="00DD7F9D" w:rsidP="00DD7F9D">
            <w:pPr>
              <w:rPr>
                <w:b/>
              </w:rPr>
            </w:pPr>
            <w:r w:rsidRPr="00DD7F9D">
              <w:rPr>
                <w:b/>
              </w:rPr>
              <w:t xml:space="preserve">Questions </w:t>
            </w:r>
          </w:p>
        </w:tc>
        <w:tc>
          <w:tcPr>
            <w:tcW w:w="8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hideMark/>
          </w:tcPr>
          <w:p w14:paraId="2D6EA822" w14:textId="77777777" w:rsidR="00DD7F9D" w:rsidRPr="00DD7F9D" w:rsidRDefault="00DD7F9D" w:rsidP="00DD7F9D">
            <w:pPr>
              <w:rPr>
                <w:b/>
              </w:rPr>
            </w:pPr>
            <w:r w:rsidRPr="00DD7F9D">
              <w:rPr>
                <w:b/>
              </w:rPr>
              <w:t>Feedback</w:t>
            </w:r>
          </w:p>
        </w:tc>
      </w:tr>
      <w:tr w:rsidR="00DD7F9D" w:rsidRPr="00DD7F9D" w14:paraId="1FCB130A" w14:textId="77777777" w:rsidTr="00360FF4">
        <w:trPr>
          <w:cantSplit/>
          <w:trHeight w:val="111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C68A" w14:textId="75E5420F" w:rsidR="00DD7F9D" w:rsidRPr="00DD7F9D" w:rsidRDefault="004E033F" w:rsidP="002D0BE2">
            <w:r w:rsidRPr="004E033F">
              <w:t>Will the recommendations identified achieve the objectives of establishing a coordinated, cost-effective, long-term approach to replacing transmission assets at end-of-life?</w:t>
            </w:r>
          </w:p>
        </w:tc>
        <w:tc>
          <w:tcPr>
            <w:tcW w:w="8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1A6CC1" w14:textId="77777777" w:rsidR="00DD7F9D" w:rsidRPr="00DD7F9D" w:rsidRDefault="00DD7F9D" w:rsidP="00DD7F9D"/>
        </w:tc>
      </w:tr>
      <w:tr w:rsidR="004E033F" w:rsidRPr="00DD7F9D" w14:paraId="1B43CC92" w14:textId="77777777" w:rsidTr="00360FF4">
        <w:trPr>
          <w:cantSplit/>
          <w:trHeight w:val="107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EF9A" w14:textId="3507E38B" w:rsidR="004E033F" w:rsidRPr="004E033F" w:rsidRDefault="004E033F" w:rsidP="002D0BE2">
            <w:r w:rsidRPr="004E033F">
              <w:t>Will the recommendations identified provide the necessary asset replacement information for consideration in the bulk and regional transmission planning processes?</w:t>
            </w:r>
          </w:p>
        </w:tc>
        <w:tc>
          <w:tcPr>
            <w:tcW w:w="8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3E9E18" w14:textId="77777777" w:rsidR="004E033F" w:rsidRPr="00DD7F9D" w:rsidRDefault="004E033F" w:rsidP="00DD7F9D"/>
        </w:tc>
      </w:tr>
      <w:tr w:rsidR="002D0BE2" w:rsidRPr="00DD7F9D" w14:paraId="3C79270D" w14:textId="77777777" w:rsidTr="00EE74B5">
        <w:trPr>
          <w:cantSplit/>
          <w:trHeight w:val="350"/>
        </w:trPr>
        <w:tc>
          <w:tcPr>
            <w:tcW w:w="1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34775" w14:textId="2452EB5C" w:rsidR="002D0BE2" w:rsidRPr="004E033F" w:rsidRDefault="004E033F" w:rsidP="002D0BE2">
            <w:pPr>
              <w:rPr>
                <w:u w:val="single"/>
              </w:rPr>
            </w:pPr>
            <w:r w:rsidRPr="004E033F">
              <w:rPr>
                <w:b/>
                <w:u w:val="single"/>
              </w:rPr>
              <w:t xml:space="preserve">Part 3: </w:t>
            </w:r>
            <w:r w:rsidRPr="004E033F">
              <w:rPr>
                <w:b/>
                <w:u w:val="single"/>
                <w:lang w:val="en-US"/>
              </w:rPr>
              <w:t>Recommendations to identify barriers to the implementation of cost-effective non-wires alternatives and options to address barriers</w:t>
            </w:r>
          </w:p>
        </w:tc>
      </w:tr>
      <w:tr w:rsidR="007156BE" w:rsidRPr="00DD7F9D" w14:paraId="6F0CD739" w14:textId="77777777" w:rsidTr="004E033F">
        <w:trPr>
          <w:cantSplit/>
          <w:trHeight w:val="144"/>
          <w:tblHeader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hideMark/>
          </w:tcPr>
          <w:p w14:paraId="4857DE0D" w14:textId="77777777" w:rsidR="007156BE" w:rsidRPr="00DD7F9D" w:rsidRDefault="007156BE" w:rsidP="00BB20B3">
            <w:pPr>
              <w:rPr>
                <w:b/>
              </w:rPr>
            </w:pPr>
            <w:r w:rsidRPr="00DD7F9D">
              <w:rPr>
                <w:b/>
              </w:rPr>
              <w:t xml:space="preserve">Questions </w:t>
            </w:r>
          </w:p>
        </w:tc>
        <w:tc>
          <w:tcPr>
            <w:tcW w:w="8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hideMark/>
          </w:tcPr>
          <w:p w14:paraId="6DEE6E5D" w14:textId="77777777" w:rsidR="007156BE" w:rsidRPr="00DD7F9D" w:rsidRDefault="007156BE" w:rsidP="00BB20B3">
            <w:pPr>
              <w:rPr>
                <w:b/>
              </w:rPr>
            </w:pPr>
            <w:r w:rsidRPr="00DD7F9D">
              <w:rPr>
                <w:b/>
              </w:rPr>
              <w:t>Feedback</w:t>
            </w:r>
          </w:p>
        </w:tc>
      </w:tr>
      <w:tr w:rsidR="002D0BE2" w:rsidRPr="00DD7F9D" w14:paraId="4A2B4846" w14:textId="77777777" w:rsidTr="004E033F">
        <w:trPr>
          <w:cantSplit/>
          <w:trHeight w:val="71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DD65" w14:textId="67A921F6" w:rsidR="002D0BE2" w:rsidRPr="00DD7F9D" w:rsidRDefault="004E033F" w:rsidP="00BB20B3">
            <w:r w:rsidRPr="004E033F">
              <w:rPr>
                <w:lang w:val="en-US"/>
              </w:rPr>
              <w:t>Will the recommendations identified adequately address barriers to consideration of cost-effective non-wires alternatives within the scope of regional planning activities that the IESO is responsible for?</w:t>
            </w:r>
          </w:p>
        </w:tc>
        <w:tc>
          <w:tcPr>
            <w:tcW w:w="8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DD55A4" w14:textId="77777777" w:rsidR="002D0BE2" w:rsidRPr="00DD7F9D" w:rsidRDefault="002D0BE2" w:rsidP="00BB20B3"/>
        </w:tc>
      </w:tr>
      <w:tr w:rsidR="007156BE" w:rsidRPr="00DD7F9D" w14:paraId="090B73BB" w14:textId="77777777" w:rsidTr="004E033F">
        <w:trPr>
          <w:cantSplit/>
          <w:trHeight w:val="11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D68D" w14:textId="60288068" w:rsidR="007156BE" w:rsidRPr="007156BE" w:rsidRDefault="004E033F" w:rsidP="007156BE">
            <w:pPr>
              <w:rPr>
                <w:lang w:val="en-US"/>
              </w:rPr>
            </w:pPr>
            <w:r w:rsidRPr="004E033F">
              <w:rPr>
                <w:lang w:val="en-US"/>
              </w:rPr>
              <w:t>With respect to the recommendations identified outside of regional planning that the IESO is not solely responsible for, do the recommendations provide a good starting point to address barriers to implementing non-wires alternatives?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34B4DE" w14:textId="77777777" w:rsidR="007156BE" w:rsidRPr="00DD7F9D" w:rsidRDefault="007156BE" w:rsidP="00BB20B3"/>
        </w:tc>
      </w:tr>
    </w:tbl>
    <w:p w14:paraId="77C89FD4" w14:textId="77777777" w:rsidR="00FA0AC9" w:rsidRDefault="00FA0AC9" w:rsidP="00360FF4"/>
    <w:sectPr w:rsidR="00FA0AC9"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D2C6" w14:textId="77777777" w:rsidR="00871E8C" w:rsidRDefault="00871E8C">
      <w:r>
        <w:separator/>
      </w:r>
    </w:p>
  </w:endnote>
  <w:endnote w:type="continuationSeparator" w:id="0">
    <w:p w14:paraId="40FCAD6A" w14:textId="77777777" w:rsidR="00871E8C" w:rsidRDefault="0087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57AD" w14:textId="0C958B20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24BADA" wp14:editId="34214604">
              <wp:simplePos x="0" y="0"/>
              <wp:positionH relativeFrom="column">
                <wp:posOffset>7279005</wp:posOffset>
              </wp:positionH>
              <wp:positionV relativeFrom="paragraph">
                <wp:posOffset>-134620</wp:posOffset>
              </wp:positionV>
              <wp:extent cx="1988185" cy="946150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7156DD9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5E57CA0" wp14:editId="7FEAFBFC">
                                <wp:extent cx="1335405" cy="603250"/>
                                <wp:effectExtent l="0" t="0" r="0" b="635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4B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" filled="f" stroked="f">
              <v:textbox>
                <w:txbxContent>
                  <w:p w14:paraId="27156DD9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5E57CA0" wp14:editId="7FEAFBFC">
                          <wp:extent cx="1335405" cy="603250"/>
                          <wp:effectExtent l="0" t="0" r="0" b="635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178">
          <w:rPr>
            <w:noProof/>
          </w:rPr>
          <w:t>2</w:t>
        </w:r>
        <w:r>
          <w:fldChar w:fldCharType="end"/>
        </w:r>
      </w:sdtContent>
    </w:sdt>
  </w:p>
  <w:p w14:paraId="583F84E7" w14:textId="77777777" w:rsidR="008627E4" w:rsidRDefault="008627E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9704" w14:textId="77777777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B4532" wp14:editId="54AA5F43">
              <wp:simplePos x="0" y="0"/>
              <wp:positionH relativeFrom="column">
                <wp:posOffset>7165975</wp:posOffset>
              </wp:positionH>
              <wp:positionV relativeFrom="paragraph">
                <wp:posOffset>-325755</wp:posOffset>
              </wp:positionV>
              <wp:extent cx="1988185" cy="9461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474E9E3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4D1E81B" wp14:editId="33C253DD">
                                <wp:extent cx="1335405" cy="603250"/>
                                <wp:effectExtent l="0" t="0" r="0" b="635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B45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" filled="f" stroked="f">
              <v:textbox>
                <w:txbxContent>
                  <w:p w14:paraId="7474E9E3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4D1E81B" wp14:editId="33C253DD">
                          <wp:extent cx="1335405" cy="603250"/>
                          <wp:effectExtent l="0" t="0" r="0" b="635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97CD" w14:textId="77777777" w:rsidR="00871E8C" w:rsidRDefault="00871E8C">
      <w:r>
        <w:separator/>
      </w:r>
    </w:p>
  </w:footnote>
  <w:footnote w:type="continuationSeparator" w:id="0">
    <w:p w14:paraId="73DCEC46" w14:textId="77777777" w:rsidR="00871E8C" w:rsidRDefault="0087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788B" w14:textId="77777777" w:rsidR="008627E4" w:rsidRDefault="008627E4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87D500" wp14:editId="25036121">
              <wp:simplePos x="0" y="0"/>
              <wp:positionH relativeFrom="page">
                <wp:posOffset>1066800</wp:posOffset>
              </wp:positionH>
              <wp:positionV relativeFrom="page">
                <wp:posOffset>440267</wp:posOffset>
              </wp:positionV>
              <wp:extent cx="7301230" cy="973666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1230" cy="9736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C5643" w14:textId="38A5AB63" w:rsidR="008627E4" w:rsidRPr="005A31A1" w:rsidRDefault="00147B0D" w:rsidP="00862ABC">
                          <w:pPr>
                            <w:spacing w:after="120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Regional Planning Process Review</w:t>
                          </w:r>
                          <w:r w:rsidR="00436178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627E4" w:rsidRPr="005A31A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– </w:t>
                          </w:r>
                          <w:r w:rsidR="008627E4" w:rsidRPr="005856E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Feedback Form</w:t>
                          </w:r>
                        </w:p>
                        <w:p w14:paraId="2AA611B2" w14:textId="3CAB1E20" w:rsidR="008627E4" w:rsidRPr="005A31A1" w:rsidRDefault="005856E3" w:rsidP="00862ABC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Webinar</w:t>
                          </w:r>
                          <w:r w:rsidR="008627E4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Date: </w:t>
                          </w:r>
                          <w:r w:rsidR="00147B0D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March 13, 2020</w:t>
                          </w:r>
                        </w:p>
                        <w:p w14:paraId="4001ACD6" w14:textId="77777777" w:rsidR="008627E4" w:rsidRDefault="008627E4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7D5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pt;margin-top:34.65pt;width:574.9pt;height:76.6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" filled="f" stroked="f">
              <v:textbox>
                <w:txbxContent>
                  <w:p w14:paraId="0A9C5643" w14:textId="38A5AB63" w:rsidR="008627E4" w:rsidRPr="005A31A1" w:rsidRDefault="00147B0D" w:rsidP="00862ABC">
                    <w:pPr>
                      <w:spacing w:after="120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Regional Planning Process Review</w:t>
                    </w:r>
                    <w:r w:rsidR="00436178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627E4" w:rsidRPr="005A31A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 xml:space="preserve">– </w:t>
                    </w:r>
                    <w:r w:rsidR="008627E4" w:rsidRPr="005856E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Feedback Form</w:t>
                    </w:r>
                  </w:p>
                  <w:p w14:paraId="2AA611B2" w14:textId="3CAB1E20" w:rsidR="008627E4" w:rsidRPr="005A31A1" w:rsidRDefault="005856E3" w:rsidP="00862ABC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Webinar</w:t>
                    </w:r>
                    <w:r w:rsidR="008627E4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 Date: </w:t>
                    </w:r>
                    <w:r w:rsidR="00147B0D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March 13, 2020</w:t>
                    </w:r>
                  </w:p>
                  <w:p w14:paraId="4001ACD6" w14:textId="77777777" w:rsidR="008627E4" w:rsidRDefault="008627E4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DB1F9D8" wp14:editId="7FCA988D">
          <wp:simplePos x="0" y="0"/>
          <wp:positionH relativeFrom="page">
            <wp:posOffset>285115</wp:posOffset>
          </wp:positionH>
          <wp:positionV relativeFrom="page">
            <wp:posOffset>225425</wp:posOffset>
          </wp:positionV>
          <wp:extent cx="9286240" cy="1435100"/>
          <wp:effectExtent l="0" t="0" r="0" b="0"/>
          <wp:wrapThrough wrapText="bothSides">
            <wp:wrapPolygon edited="0">
              <wp:start x="0" y="0"/>
              <wp:lineTo x="0" y="21218"/>
              <wp:lineTo x="665" y="21218"/>
              <wp:lineTo x="975" y="21218"/>
              <wp:lineTo x="6292" y="18637"/>
              <wp:lineTo x="15863" y="18350"/>
              <wp:lineTo x="19541" y="17204"/>
              <wp:lineTo x="19497" y="13763"/>
              <wp:lineTo x="21535" y="10609"/>
              <wp:lineTo x="21535" y="0"/>
              <wp:lineTo x="0" y="0"/>
            </wp:wrapPolygon>
          </wp:wrapThrough>
          <wp:docPr id="10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24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1FA"/>
    <w:multiLevelType w:val="hybridMultilevel"/>
    <w:tmpl w:val="BCDCCE76"/>
    <w:lvl w:ilvl="0" w:tplc="264466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E87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AD3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A56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0DD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64C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826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EA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E9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52037F"/>
    <w:multiLevelType w:val="multilevel"/>
    <w:tmpl w:val="005203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B52BE"/>
    <w:multiLevelType w:val="hybridMultilevel"/>
    <w:tmpl w:val="23527A60"/>
    <w:lvl w:ilvl="0" w:tplc="2D6C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0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A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C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23C67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7F93"/>
    <w:multiLevelType w:val="multilevel"/>
    <w:tmpl w:val="19B97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258"/>
    <w:multiLevelType w:val="hybridMultilevel"/>
    <w:tmpl w:val="3B98A3CC"/>
    <w:lvl w:ilvl="0" w:tplc="3A82DF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CE6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C8F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EDF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678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9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480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2A2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254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297B30"/>
    <w:multiLevelType w:val="hybridMultilevel"/>
    <w:tmpl w:val="49F6B0AE"/>
    <w:lvl w:ilvl="0" w:tplc="D3A2825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75C8"/>
    <w:multiLevelType w:val="hybridMultilevel"/>
    <w:tmpl w:val="B8C4B0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409EC"/>
    <w:multiLevelType w:val="hybridMultilevel"/>
    <w:tmpl w:val="89888F50"/>
    <w:lvl w:ilvl="0" w:tplc="9890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2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2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E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C84A73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6038"/>
    <w:multiLevelType w:val="multilevel"/>
    <w:tmpl w:val="38B66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66B7D"/>
    <w:multiLevelType w:val="multilevel"/>
    <w:tmpl w:val="39966B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44607"/>
    <w:multiLevelType w:val="multilevel"/>
    <w:tmpl w:val="44D446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D2BBE"/>
    <w:multiLevelType w:val="hybridMultilevel"/>
    <w:tmpl w:val="A7B2F380"/>
    <w:lvl w:ilvl="0" w:tplc="263C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8A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0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C32BCF"/>
    <w:multiLevelType w:val="hybridMultilevel"/>
    <w:tmpl w:val="B81CA4C6"/>
    <w:lvl w:ilvl="0" w:tplc="DE8E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6AF8">
      <w:start w:val="24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C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E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4A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487126"/>
    <w:multiLevelType w:val="multilevel"/>
    <w:tmpl w:val="514871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721B7B"/>
    <w:multiLevelType w:val="hybridMultilevel"/>
    <w:tmpl w:val="F2321FE0"/>
    <w:lvl w:ilvl="0" w:tplc="536E22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673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CBB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4D3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C5B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E46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CD4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EE1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ABB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775690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72334"/>
    <w:multiLevelType w:val="hybridMultilevel"/>
    <w:tmpl w:val="74F8AE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1B17F1"/>
    <w:multiLevelType w:val="hybridMultilevel"/>
    <w:tmpl w:val="4B2C2AB2"/>
    <w:lvl w:ilvl="0" w:tplc="486253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AC8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2B9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83F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C2B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2A5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4CD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4A7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6D8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564B42"/>
    <w:multiLevelType w:val="hybridMultilevel"/>
    <w:tmpl w:val="F43E70DC"/>
    <w:lvl w:ilvl="0" w:tplc="12A6B6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A18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688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AB7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4AD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C8B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A36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A84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066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267984"/>
    <w:multiLevelType w:val="hybridMultilevel"/>
    <w:tmpl w:val="008EB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D5318B"/>
    <w:multiLevelType w:val="hybridMultilevel"/>
    <w:tmpl w:val="B33EE36C"/>
    <w:lvl w:ilvl="0" w:tplc="5FE07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045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0BB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891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4D6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CBF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2D0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E1A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C90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8F4BC1"/>
    <w:multiLevelType w:val="hybridMultilevel"/>
    <w:tmpl w:val="D7AA16C0"/>
    <w:lvl w:ilvl="0" w:tplc="17381C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2A4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644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677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EB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CB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025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C32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2E9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E374DF4"/>
    <w:multiLevelType w:val="hybridMultilevel"/>
    <w:tmpl w:val="BCACBAD2"/>
    <w:lvl w:ilvl="0" w:tplc="B5C6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4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2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17"/>
  </w:num>
  <w:num w:numId="10">
    <w:abstractNumId w:val="6"/>
  </w:num>
  <w:num w:numId="11">
    <w:abstractNumId w:val="7"/>
  </w:num>
  <w:num w:numId="12">
    <w:abstractNumId w:val="21"/>
  </w:num>
  <w:num w:numId="13">
    <w:abstractNumId w:val="18"/>
  </w:num>
  <w:num w:numId="14">
    <w:abstractNumId w:val="14"/>
  </w:num>
  <w:num w:numId="15">
    <w:abstractNumId w:val="2"/>
  </w:num>
  <w:num w:numId="16">
    <w:abstractNumId w:val="8"/>
  </w:num>
  <w:num w:numId="17">
    <w:abstractNumId w:val="13"/>
  </w:num>
  <w:num w:numId="18">
    <w:abstractNumId w:val="24"/>
  </w:num>
  <w:num w:numId="19">
    <w:abstractNumId w:val="23"/>
  </w:num>
  <w:num w:numId="20">
    <w:abstractNumId w:val="20"/>
  </w:num>
  <w:num w:numId="21">
    <w:abstractNumId w:val="0"/>
  </w:num>
  <w:num w:numId="22">
    <w:abstractNumId w:val="5"/>
  </w:num>
  <w:num w:numId="23">
    <w:abstractNumId w:val="16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594D"/>
    <w:rsid w:val="000169CA"/>
    <w:rsid w:val="00022220"/>
    <w:rsid w:val="00022D5E"/>
    <w:rsid w:val="00025165"/>
    <w:rsid w:val="0003638E"/>
    <w:rsid w:val="00044A8A"/>
    <w:rsid w:val="00046810"/>
    <w:rsid w:val="00053A0A"/>
    <w:rsid w:val="00071CDA"/>
    <w:rsid w:val="00075BFB"/>
    <w:rsid w:val="0009024E"/>
    <w:rsid w:val="0009035D"/>
    <w:rsid w:val="00090A52"/>
    <w:rsid w:val="00091464"/>
    <w:rsid w:val="000A3E44"/>
    <w:rsid w:val="000A6266"/>
    <w:rsid w:val="000C6716"/>
    <w:rsid w:val="000C7666"/>
    <w:rsid w:val="000E1ECF"/>
    <w:rsid w:val="000E377E"/>
    <w:rsid w:val="000F52E5"/>
    <w:rsid w:val="00101668"/>
    <w:rsid w:val="00111834"/>
    <w:rsid w:val="00126323"/>
    <w:rsid w:val="00126B56"/>
    <w:rsid w:val="00140188"/>
    <w:rsid w:val="0014027F"/>
    <w:rsid w:val="00147B0D"/>
    <w:rsid w:val="001607AF"/>
    <w:rsid w:val="001817BA"/>
    <w:rsid w:val="00192B68"/>
    <w:rsid w:val="001B6085"/>
    <w:rsid w:val="001C2A5D"/>
    <w:rsid w:val="001C686E"/>
    <w:rsid w:val="001E58AD"/>
    <w:rsid w:val="001E6311"/>
    <w:rsid w:val="0020584C"/>
    <w:rsid w:val="00212B92"/>
    <w:rsid w:val="00213E1D"/>
    <w:rsid w:val="00230223"/>
    <w:rsid w:val="002366C1"/>
    <w:rsid w:val="00242EAE"/>
    <w:rsid w:val="002520D5"/>
    <w:rsid w:val="0026306E"/>
    <w:rsid w:val="002747FB"/>
    <w:rsid w:val="00291BC2"/>
    <w:rsid w:val="002A2AC5"/>
    <w:rsid w:val="002A60EE"/>
    <w:rsid w:val="002B7A9B"/>
    <w:rsid w:val="002C0705"/>
    <w:rsid w:val="002D0BE2"/>
    <w:rsid w:val="002F084A"/>
    <w:rsid w:val="002F7FE6"/>
    <w:rsid w:val="003066E7"/>
    <w:rsid w:val="00340B97"/>
    <w:rsid w:val="00345C00"/>
    <w:rsid w:val="0035032F"/>
    <w:rsid w:val="00350CB6"/>
    <w:rsid w:val="00360FF4"/>
    <w:rsid w:val="003754AA"/>
    <w:rsid w:val="00377A7F"/>
    <w:rsid w:val="00384EEE"/>
    <w:rsid w:val="00390E64"/>
    <w:rsid w:val="003918E4"/>
    <w:rsid w:val="00393814"/>
    <w:rsid w:val="00394F01"/>
    <w:rsid w:val="00397B2F"/>
    <w:rsid w:val="003A20B0"/>
    <w:rsid w:val="003A4246"/>
    <w:rsid w:val="003C1322"/>
    <w:rsid w:val="003C4B61"/>
    <w:rsid w:val="003E6E57"/>
    <w:rsid w:val="00407907"/>
    <w:rsid w:val="004166A3"/>
    <w:rsid w:val="00436178"/>
    <w:rsid w:val="00436401"/>
    <w:rsid w:val="00462F66"/>
    <w:rsid w:val="00464397"/>
    <w:rsid w:val="00467C08"/>
    <w:rsid w:val="004761B3"/>
    <w:rsid w:val="004A1FF6"/>
    <w:rsid w:val="004A5D31"/>
    <w:rsid w:val="004B0B5A"/>
    <w:rsid w:val="004B3505"/>
    <w:rsid w:val="004B65A1"/>
    <w:rsid w:val="004D7ADA"/>
    <w:rsid w:val="004E033F"/>
    <w:rsid w:val="004E4281"/>
    <w:rsid w:val="004F4A0D"/>
    <w:rsid w:val="00515FF9"/>
    <w:rsid w:val="0052398B"/>
    <w:rsid w:val="005303EF"/>
    <w:rsid w:val="005308CF"/>
    <w:rsid w:val="005335DF"/>
    <w:rsid w:val="00541108"/>
    <w:rsid w:val="00544CE2"/>
    <w:rsid w:val="00561339"/>
    <w:rsid w:val="00566E25"/>
    <w:rsid w:val="005708AF"/>
    <w:rsid w:val="00581E48"/>
    <w:rsid w:val="005856E3"/>
    <w:rsid w:val="00593506"/>
    <w:rsid w:val="005A31A1"/>
    <w:rsid w:val="005B03D2"/>
    <w:rsid w:val="005B0BFC"/>
    <w:rsid w:val="005B7CBC"/>
    <w:rsid w:val="005C39B0"/>
    <w:rsid w:val="005D5D85"/>
    <w:rsid w:val="005F35EF"/>
    <w:rsid w:val="00636196"/>
    <w:rsid w:val="00640E59"/>
    <w:rsid w:val="0064396A"/>
    <w:rsid w:val="006465E7"/>
    <w:rsid w:val="00665161"/>
    <w:rsid w:val="00665DC7"/>
    <w:rsid w:val="0069430F"/>
    <w:rsid w:val="00694F38"/>
    <w:rsid w:val="006D52C8"/>
    <w:rsid w:val="006F4246"/>
    <w:rsid w:val="006F58C0"/>
    <w:rsid w:val="006F66C9"/>
    <w:rsid w:val="007065C0"/>
    <w:rsid w:val="007156BE"/>
    <w:rsid w:val="00724D1F"/>
    <w:rsid w:val="00746D10"/>
    <w:rsid w:val="00755314"/>
    <w:rsid w:val="00760F97"/>
    <w:rsid w:val="00763081"/>
    <w:rsid w:val="00766561"/>
    <w:rsid w:val="00766768"/>
    <w:rsid w:val="00782612"/>
    <w:rsid w:val="00783BD7"/>
    <w:rsid w:val="007A040F"/>
    <w:rsid w:val="007B2B97"/>
    <w:rsid w:val="007C146A"/>
    <w:rsid w:val="007E3EFF"/>
    <w:rsid w:val="007E6378"/>
    <w:rsid w:val="0080596F"/>
    <w:rsid w:val="0080728A"/>
    <w:rsid w:val="00814FFA"/>
    <w:rsid w:val="00824090"/>
    <w:rsid w:val="00825718"/>
    <w:rsid w:val="00830FE9"/>
    <w:rsid w:val="00831808"/>
    <w:rsid w:val="00845218"/>
    <w:rsid w:val="00850208"/>
    <w:rsid w:val="008627E4"/>
    <w:rsid w:val="00862ABC"/>
    <w:rsid w:val="00871E8C"/>
    <w:rsid w:val="0088380D"/>
    <w:rsid w:val="00885220"/>
    <w:rsid w:val="008866A3"/>
    <w:rsid w:val="00894286"/>
    <w:rsid w:val="0089619B"/>
    <w:rsid w:val="008A19EB"/>
    <w:rsid w:val="008A6E3D"/>
    <w:rsid w:val="008D4090"/>
    <w:rsid w:val="008F73D9"/>
    <w:rsid w:val="00900E48"/>
    <w:rsid w:val="00903279"/>
    <w:rsid w:val="00906C99"/>
    <w:rsid w:val="0091542E"/>
    <w:rsid w:val="00916A56"/>
    <w:rsid w:val="00942992"/>
    <w:rsid w:val="00943D89"/>
    <w:rsid w:val="00951C46"/>
    <w:rsid w:val="00953005"/>
    <w:rsid w:val="00956588"/>
    <w:rsid w:val="00962205"/>
    <w:rsid w:val="00973057"/>
    <w:rsid w:val="00977506"/>
    <w:rsid w:val="00977EB1"/>
    <w:rsid w:val="00995BA7"/>
    <w:rsid w:val="009C2963"/>
    <w:rsid w:val="009E34F4"/>
    <w:rsid w:val="009E4D26"/>
    <w:rsid w:val="009F48C6"/>
    <w:rsid w:val="009F4AD2"/>
    <w:rsid w:val="009F7F07"/>
    <w:rsid w:val="00A23891"/>
    <w:rsid w:val="00A27CCF"/>
    <w:rsid w:val="00A4160B"/>
    <w:rsid w:val="00A462B2"/>
    <w:rsid w:val="00A46D85"/>
    <w:rsid w:val="00AA205E"/>
    <w:rsid w:val="00AA310B"/>
    <w:rsid w:val="00AB0DC0"/>
    <w:rsid w:val="00AD305B"/>
    <w:rsid w:val="00AF7D80"/>
    <w:rsid w:val="00B06C24"/>
    <w:rsid w:val="00B1009D"/>
    <w:rsid w:val="00B108A3"/>
    <w:rsid w:val="00B11658"/>
    <w:rsid w:val="00B20834"/>
    <w:rsid w:val="00B27648"/>
    <w:rsid w:val="00B32E58"/>
    <w:rsid w:val="00B35F8E"/>
    <w:rsid w:val="00B76624"/>
    <w:rsid w:val="00B8111E"/>
    <w:rsid w:val="00B83B4B"/>
    <w:rsid w:val="00B90565"/>
    <w:rsid w:val="00B90907"/>
    <w:rsid w:val="00B90CFB"/>
    <w:rsid w:val="00BA4EF8"/>
    <w:rsid w:val="00BB136C"/>
    <w:rsid w:val="00BB2C0D"/>
    <w:rsid w:val="00BD3DFF"/>
    <w:rsid w:val="00BD53EC"/>
    <w:rsid w:val="00BD7917"/>
    <w:rsid w:val="00C0097C"/>
    <w:rsid w:val="00C04464"/>
    <w:rsid w:val="00C048D2"/>
    <w:rsid w:val="00C04C9E"/>
    <w:rsid w:val="00C06B1E"/>
    <w:rsid w:val="00C10582"/>
    <w:rsid w:val="00C421F8"/>
    <w:rsid w:val="00C453D5"/>
    <w:rsid w:val="00C54027"/>
    <w:rsid w:val="00C5451C"/>
    <w:rsid w:val="00C6790C"/>
    <w:rsid w:val="00C71071"/>
    <w:rsid w:val="00C77310"/>
    <w:rsid w:val="00C9451C"/>
    <w:rsid w:val="00C97EC5"/>
    <w:rsid w:val="00CA7D45"/>
    <w:rsid w:val="00CB3A43"/>
    <w:rsid w:val="00CB69EF"/>
    <w:rsid w:val="00CD1136"/>
    <w:rsid w:val="00CD643C"/>
    <w:rsid w:val="00CE3CA8"/>
    <w:rsid w:val="00D03CF2"/>
    <w:rsid w:val="00D5156B"/>
    <w:rsid w:val="00D51C18"/>
    <w:rsid w:val="00D51E6E"/>
    <w:rsid w:val="00D630E5"/>
    <w:rsid w:val="00D95416"/>
    <w:rsid w:val="00DB3D7E"/>
    <w:rsid w:val="00DC2FFC"/>
    <w:rsid w:val="00DD2F98"/>
    <w:rsid w:val="00DD5116"/>
    <w:rsid w:val="00DD7F9D"/>
    <w:rsid w:val="00E00E37"/>
    <w:rsid w:val="00E129C0"/>
    <w:rsid w:val="00E42BE7"/>
    <w:rsid w:val="00E4387C"/>
    <w:rsid w:val="00E818A1"/>
    <w:rsid w:val="00E90AB5"/>
    <w:rsid w:val="00EA4619"/>
    <w:rsid w:val="00EA56AF"/>
    <w:rsid w:val="00EB66D0"/>
    <w:rsid w:val="00EC6935"/>
    <w:rsid w:val="00ED2772"/>
    <w:rsid w:val="00EE74B5"/>
    <w:rsid w:val="00EF63BA"/>
    <w:rsid w:val="00F043AD"/>
    <w:rsid w:val="00F12F8A"/>
    <w:rsid w:val="00F249B7"/>
    <w:rsid w:val="00F257A2"/>
    <w:rsid w:val="00F26284"/>
    <w:rsid w:val="00F41393"/>
    <w:rsid w:val="00F57FC7"/>
    <w:rsid w:val="00F60ABF"/>
    <w:rsid w:val="00F7045F"/>
    <w:rsid w:val="00F95172"/>
    <w:rsid w:val="00FA050C"/>
    <w:rsid w:val="00FA0AC9"/>
    <w:rsid w:val="00FA3C5B"/>
    <w:rsid w:val="00FC2B56"/>
    <w:rsid w:val="00FD745D"/>
    <w:rsid w:val="00FD7C18"/>
    <w:rsid w:val="09271AD9"/>
    <w:rsid w:val="20E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66A33B"/>
  <w15:docId w15:val="{866EE0F1-8E99-4EB0-98A8-2522A5A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unhideWhenUsed/>
    <w:rsid w:val="000E377E"/>
    <w:pPr>
      <w:ind w:left="720"/>
      <w:contextualSpacing/>
    </w:pPr>
  </w:style>
  <w:style w:type="table" w:styleId="TableGrid8">
    <w:name w:val="Table Grid 8"/>
    <w:basedOn w:val="TableNormal"/>
    <w:rsid w:val="00FA0AC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5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1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0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02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28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8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6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589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7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ieso.ca/Sector-Participants/Engagement-Initiatives/Engagements/Regional-Planning-Review-Proces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gagement@ieso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05484dbdff55b68296b8abb6ea6d7d47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a3a49a844629ba272e27b43d9a600796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ergy Work Stream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DE96F55-1E65-4ECF-8126-799041C3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EE54B-32AB-46CC-AA79-969CC7EE86C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8f5834-c543-41e8-ae07-d25535253511"/>
    <ds:schemaRef ds:uri="http://purl.org/dc/elements/1.1/"/>
    <ds:schemaRef ds:uri="a787331b-6997-4e75-bc4a-cfef76b70fb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F263F8C-BCB6-41E0-BD55-A4ABF211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Participation Model Decisions</vt:lpstr>
    </vt:vector>
  </TitlesOfParts>
  <Company>IESO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Feedback_template - Participation Model Decisions</dc:title>
  <dc:creator>Vipul Agrawal</dc:creator>
  <cp:lastModifiedBy>Dale Fitzgerald</cp:lastModifiedBy>
  <cp:revision>5</cp:revision>
  <cp:lastPrinted>2020-03-06T17:13:00Z</cp:lastPrinted>
  <dcterms:created xsi:type="dcterms:W3CDTF">2020-03-06T17:10:00Z</dcterms:created>
  <dcterms:modified xsi:type="dcterms:W3CDTF">2020-03-06T17:17:00Z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  <property fmtid="{D5CDD505-2E9C-101B-9397-08002B2CF9AE}" pid="4" name="KSOProductBuildVer">
    <vt:lpwstr>1033-10.2.0.5824</vt:lpwstr>
  </property>
</Properties>
</file>