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58C39BB" w:rsidR="006F582B" w:rsidRDefault="00E14A79" w:rsidP="006F582B">
      <w:pPr>
        <w:pStyle w:val="Heading2"/>
      </w:pPr>
      <w:r>
        <w:t>IESO Reliability Standards Review</w:t>
      </w:r>
      <w:r w:rsidR="007A1A30">
        <w:t xml:space="preserve"> – </w:t>
      </w:r>
      <w:r>
        <w:t>Dec</w:t>
      </w:r>
      <w:r w:rsidR="009362BC">
        <w:t>ember 1</w:t>
      </w:r>
      <w:r>
        <w:t>4</w:t>
      </w:r>
      <w:r w:rsidR="009362BC">
        <w:t>, 2020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28ECFA95" w14:textId="6661A511" w:rsidR="009362BC" w:rsidRPr="00680397" w:rsidRDefault="009362BC" w:rsidP="00680397">
      <w:pPr>
        <w:pStyle w:val="BodyText"/>
      </w:pPr>
      <w:r w:rsidRPr="00680397">
        <w:t xml:space="preserve">Following the </w:t>
      </w:r>
      <w:r w:rsidR="00E14A79" w:rsidRPr="00680397">
        <w:t>December 14, 2020 webinar on IESO Reliability Standards</w:t>
      </w:r>
      <w:r w:rsidRPr="00680397">
        <w:t xml:space="preserve">, the IESO is seeking feedback from participants on the </w:t>
      </w:r>
      <w:r w:rsidR="00E14A79" w:rsidRPr="00680397">
        <w:t xml:space="preserve">proposed methodology and approach </w:t>
      </w:r>
      <w:r w:rsidR="003565EA" w:rsidRPr="00680397">
        <w:t xml:space="preserve">outlined in the presentation </w:t>
      </w:r>
      <w:r w:rsidR="00E14A79" w:rsidRPr="00680397">
        <w:t xml:space="preserve">with respect to intertie support (non-firm imports). </w:t>
      </w:r>
      <w:r w:rsidRPr="00680397">
        <w:t>The IESO will work to consider feedback and incorporate comments as appropriate and post responses on the engagement webpage.</w:t>
      </w:r>
    </w:p>
    <w:p w14:paraId="6D31DC2B" w14:textId="6DEF833C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E14A79">
        <w:rPr>
          <w:rFonts w:cs="Tahoma"/>
          <w:szCs w:val="22"/>
        </w:rPr>
        <w:t>December 14</w:t>
      </w:r>
      <w:r>
        <w:rPr>
          <w:rFonts w:cs="Tahoma"/>
          <w:szCs w:val="22"/>
        </w:rPr>
        <w:t>, 2020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 xml:space="preserve">the </w:t>
      </w:r>
      <w:hyperlink r:id="rId8" w:history="1">
        <w:r w:rsidR="00E14A79" w:rsidRPr="00680397">
          <w:rPr>
            <w:rStyle w:val="Hyperlink"/>
          </w:rPr>
          <w:t xml:space="preserve">Reliability Standards Review </w:t>
        </w:r>
        <w:r w:rsidR="0040480E" w:rsidRPr="00680397">
          <w:rPr>
            <w:rStyle w:val="Hyperlink"/>
          </w:rPr>
          <w:t>w</w:t>
        </w:r>
        <w:r w:rsidR="00E14A79" w:rsidRPr="00680397">
          <w:rPr>
            <w:rStyle w:val="Hyperlink"/>
          </w:rPr>
          <w:t>ebpage</w:t>
        </w:r>
      </w:hyperlink>
      <w:r w:rsidR="00E14A79">
        <w:rPr>
          <w:rFonts w:cs="Tahoma"/>
          <w:szCs w:val="22"/>
        </w:rPr>
        <w:t>.</w:t>
      </w:r>
      <w:r w:rsidRPr="009362BC">
        <w:rPr>
          <w:rFonts w:cs="Tahoma"/>
          <w:szCs w:val="22"/>
        </w:rPr>
        <w:t xml:space="preserve"> </w:t>
      </w:r>
    </w:p>
    <w:p w14:paraId="00585EA6" w14:textId="3F5B8D8D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40480E">
        <w:rPr>
          <w:rFonts w:cs="Tahoma"/>
          <w:b/>
          <w:color w:val="FF0000"/>
          <w:szCs w:val="22"/>
        </w:rPr>
        <w:t>January 1</w:t>
      </w:r>
      <w:r w:rsidR="00E0178C">
        <w:rPr>
          <w:rFonts w:cs="Tahoma"/>
          <w:b/>
          <w:color w:val="FF0000"/>
          <w:szCs w:val="22"/>
        </w:rPr>
        <w:t>8</w:t>
      </w:r>
      <w:r w:rsidR="0040480E">
        <w:rPr>
          <w:rFonts w:cs="Tahoma"/>
          <w:b/>
          <w:color w:val="FF0000"/>
          <w:szCs w:val="22"/>
        </w:rPr>
        <w:t>,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C748D9">
          <w:rPr>
            <w:rStyle w:val="Hyperlink"/>
            <w:b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40480E">
        <w:rPr>
          <w:rFonts w:cs="Tahoma"/>
          <w:i/>
          <w:szCs w:val="22"/>
        </w:rPr>
        <w:t>Reliability Standards Review</w:t>
      </w:r>
      <w:r w:rsidRPr="009362BC">
        <w:rPr>
          <w:rFonts w:cs="Tahoma"/>
          <w:szCs w:val="22"/>
        </w:rPr>
        <w:t xml:space="preserve">. To promote transparency, this feedback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40480E" w:rsidRPr="00680397">
          <w:rPr>
            <w:rStyle w:val="Hyperlink"/>
          </w:rPr>
          <w:t>Reliability Standards Review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A95E5DF" w14:textId="31091838" w:rsidR="009B6BAE" w:rsidRPr="009362BC" w:rsidRDefault="009362BC" w:rsidP="009362BC">
      <w:pPr>
        <w:pStyle w:val="BodyText"/>
      </w:pPr>
      <w:r w:rsidRPr="009362BC">
        <w:t>Thank you for your time.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  <w:bookmarkStart w:id="0" w:name="_GoBack"/>
      <w:bookmarkEnd w:id="0"/>
    </w:p>
    <w:p w14:paraId="4358B92E" w14:textId="51445E4E" w:rsidR="00C04795" w:rsidRPr="004200EA" w:rsidRDefault="00E0178C" w:rsidP="00EF1F49">
      <w:pPr>
        <w:pStyle w:val="Heading3"/>
      </w:pPr>
      <w:bookmarkStart w:id="1" w:name="_Toc35868671"/>
      <w:r>
        <w:lastRenderedPageBreak/>
        <w:t>Intertie Support (Non-Firm Imports)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E0178C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9106701" w:rsidR="004200EA" w:rsidRPr="006B7128" w:rsidRDefault="00E0178C" w:rsidP="00E0178C">
            <w:pPr>
              <w:spacing w:after="0" w:line="240" w:lineRule="auto"/>
            </w:pPr>
            <w:r w:rsidRPr="00E0178C">
              <w:t>Have the areas of consideration been appropriately included in the proposed methodology?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14:paraId="3AF10FA2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ED4CCF4" w14:textId="34D5AD47" w:rsidR="00E0178C" w:rsidRPr="00E0178C" w:rsidRDefault="00E0178C" w:rsidP="00680397">
            <w:pPr>
              <w:spacing w:after="0" w:line="240" w:lineRule="auto"/>
            </w:pPr>
            <w:r w:rsidRPr="00E0178C">
              <w:t xml:space="preserve">Are the approaches outlined reasonable for forecasting real-time market imports? 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4C7AAD2" w14:textId="77777777" w:rsidR="00E0178C" w:rsidRPr="006D7540" w:rsidRDefault="00E0178C" w:rsidP="00DC09F6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77777777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C83E02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748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02E70A1" w:rsidR="00C6016F" w:rsidRDefault="00680397" w:rsidP="00871E07">
    <w:pPr>
      <w:pStyle w:val="Footer"/>
      <w:ind w:right="360"/>
    </w:pPr>
    <w:r>
      <w:t>Reliability Standards Review</w:t>
    </w:r>
    <w:r w:rsidR="00FC7434">
      <w:t xml:space="preserve">, </w:t>
    </w:r>
    <w:r>
      <w:t>14</w:t>
    </w:r>
    <w:r w:rsidR="00FC7434">
      <w:t>/</w:t>
    </w:r>
    <w:r>
      <w:t>December</w:t>
    </w:r>
    <w:r w:rsidR="00FC7434">
      <w:t>/</w:t>
    </w:r>
    <w: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072BA9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748D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4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6"/>
  </w:num>
  <w:num w:numId="17">
    <w:abstractNumId w:val="10"/>
  </w:num>
  <w:num w:numId="18">
    <w:abstractNumId w:val="28"/>
  </w:num>
  <w:num w:numId="19">
    <w:abstractNumId w:val="21"/>
  </w:num>
  <w:num w:numId="20">
    <w:abstractNumId w:val="29"/>
  </w:num>
  <w:num w:numId="21">
    <w:abstractNumId w:val="27"/>
  </w:num>
  <w:num w:numId="22">
    <w:abstractNumId w:val="31"/>
  </w:num>
  <w:num w:numId="23">
    <w:abstractNumId w:val="16"/>
  </w:num>
  <w:num w:numId="24">
    <w:abstractNumId w:val="18"/>
  </w:num>
  <w:num w:numId="25">
    <w:abstractNumId w:val="33"/>
  </w:num>
  <w:num w:numId="26">
    <w:abstractNumId w:val="13"/>
  </w:num>
  <w:num w:numId="27">
    <w:abstractNumId w:val="35"/>
  </w:num>
  <w:num w:numId="28">
    <w:abstractNumId w:val="17"/>
  </w:num>
  <w:num w:numId="29">
    <w:abstractNumId w:val="32"/>
  </w:num>
  <w:num w:numId="30">
    <w:abstractNumId w:val="15"/>
  </w:num>
  <w:num w:numId="31">
    <w:abstractNumId w:val="23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0397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48D9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680397"/>
    <w:rPr>
      <w:rFonts w:eastAsiaTheme="minorEastAsia" w:cs="Tahoma"/>
      <w:noProof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680397"/>
    <w:rPr>
      <w:rFonts w:ascii="Tahoma" w:eastAsiaTheme="minorEastAsia" w:hAnsi="Tahoma" w:cs="Tahoma"/>
      <w:noProof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liability-Standards-Re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Reliability-Standard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3F07E5-BEDF-4D89-8E95-4403106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Daniela Drazic</cp:lastModifiedBy>
  <cp:revision>21</cp:revision>
  <cp:lastPrinted>2020-04-17T18:00:00Z</cp:lastPrinted>
  <dcterms:created xsi:type="dcterms:W3CDTF">2020-10-09T15:56:00Z</dcterms:created>
  <dcterms:modified xsi:type="dcterms:W3CDTF">2020-12-02T18:34:00Z</dcterms:modified>
  <cp:category/>
</cp:coreProperties>
</file>