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2872EF" w14:textId="77777777" w:rsidR="00D56AEC" w:rsidRDefault="0035658F" w:rsidP="00456376">
      <w:pPr>
        <w:pStyle w:val="BodyText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A5B61" wp14:editId="25B08CF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02A6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B61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0FE202A6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CE0C7F" w14:textId="77777777" w:rsidR="005A5EF9" w:rsidRDefault="005A5EF9" w:rsidP="005A5EF9">
      <w:pPr>
        <w:pStyle w:val="YellowBarHeading2"/>
      </w:pPr>
    </w:p>
    <w:p w14:paraId="00C23D88" w14:textId="39AC7CFB" w:rsidR="006F582B" w:rsidRDefault="00637A45" w:rsidP="006F582B">
      <w:pPr>
        <w:pStyle w:val="Heading2"/>
      </w:pPr>
      <w:r>
        <w:t>Distributed Energy Resource (DER) Scenario</w:t>
      </w:r>
      <w:r w:rsidR="00E61944">
        <w:t>s</w:t>
      </w:r>
      <w:r>
        <w:t xml:space="preserve"> and Mode</w:t>
      </w:r>
      <w:r w:rsidR="00E61944">
        <w:t>l</w:t>
      </w:r>
      <w:r>
        <w:t>ling Study for the IESO’s York Region Non-Wires Alternatives (NWAs) Demonstration Project</w:t>
      </w:r>
      <w:r w:rsidR="00B87823">
        <w:t xml:space="preserve"> </w:t>
      </w:r>
      <w:r w:rsidR="007A1A30" w:rsidRPr="00CF0207">
        <w:t>–</w:t>
      </w:r>
      <w:r w:rsidR="007A1A30">
        <w:t xml:space="preserve"> </w:t>
      </w:r>
      <w:r>
        <w:t>July 27</w:t>
      </w:r>
      <w:r w:rsidR="00CF0207">
        <w:t>, 2</w:t>
      </w:r>
      <w:r w:rsidR="005208F6">
        <w:t>023</w:t>
      </w:r>
    </w:p>
    <w:p w14:paraId="36BF3245" w14:textId="77777777" w:rsidR="009B6BAE" w:rsidRDefault="009B6BAE" w:rsidP="006E7BD2">
      <w:pPr>
        <w:pStyle w:val="Heading3"/>
      </w:pPr>
      <w:r>
        <w:t>Feedback Provided by:</w:t>
      </w:r>
    </w:p>
    <w:p w14:paraId="5FF84CD2" w14:textId="77777777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53A7EBBB" w14:textId="77777777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C0B3DCC" w14:textId="77777777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64EA549" w14:textId="7777777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1227A3D6" w14:textId="77777777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15C4F2B4" w14:textId="77777777" w:rsidR="009362BC" w:rsidRDefault="009362BC" w:rsidP="009362BC">
      <w:pPr>
        <w:pStyle w:val="BodyText"/>
      </w:pPr>
    </w:p>
    <w:p w14:paraId="6C8D64BA" w14:textId="43638C1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Following the </w:t>
      </w:r>
      <w:r w:rsidR="00637A45">
        <w:rPr>
          <w:lang w:val="en-CA"/>
        </w:rPr>
        <w:t>July 27</w:t>
      </w:r>
      <w:r w:rsidR="005208F6" w:rsidRPr="005208F6">
        <w:rPr>
          <w:vertAlign w:val="superscript"/>
          <w:lang w:val="en-CA"/>
        </w:rPr>
        <w:t>th</w:t>
      </w:r>
      <w:r w:rsidR="005208F6">
        <w:rPr>
          <w:lang w:val="en-CA"/>
        </w:rPr>
        <w:t xml:space="preserve"> </w:t>
      </w:r>
      <w:r w:rsidR="00E61944">
        <w:rPr>
          <w:lang w:val="en-CA"/>
        </w:rPr>
        <w:t>DER Scenarios and Modelling Study engagement webinar,</w:t>
      </w:r>
      <w:r w:rsidR="009B70D1">
        <w:rPr>
          <w:lang w:val="en-CA"/>
        </w:rPr>
        <w:t xml:space="preserve"> the IESO is seeking feedback </w:t>
      </w:r>
      <w:r w:rsidR="00634B18">
        <w:rPr>
          <w:lang w:val="en-CA"/>
        </w:rPr>
        <w:t>on</w:t>
      </w:r>
      <w:r w:rsidR="009B70D1">
        <w:rPr>
          <w:lang w:val="en-CA"/>
        </w:rPr>
        <w:t xml:space="preserve"> a number of questions related to </w:t>
      </w:r>
      <w:r w:rsidR="00E61944">
        <w:rPr>
          <w:lang w:val="en-CA"/>
        </w:rPr>
        <w:t>the Study</w:t>
      </w:r>
      <w:r w:rsidR="009B70D1">
        <w:rPr>
          <w:lang w:val="en-CA"/>
        </w:rPr>
        <w:t xml:space="preserve">. </w:t>
      </w:r>
    </w:p>
    <w:p w14:paraId="075E1EF2" w14:textId="72FAC53E" w:rsidR="00CF0207" w:rsidRPr="00CF0207" w:rsidRDefault="00CF0207" w:rsidP="00CF0207">
      <w:pPr>
        <w:pStyle w:val="BodyText"/>
        <w:rPr>
          <w:lang w:val="en-CA"/>
        </w:rPr>
      </w:pPr>
      <w:r w:rsidRPr="00B15381">
        <w:rPr>
          <w:b/>
          <w:color w:val="FF0000"/>
          <w:lang w:val="en-CA"/>
        </w:rPr>
        <w:t xml:space="preserve">Please provide feedback by </w:t>
      </w:r>
      <w:r w:rsidR="00E61944">
        <w:rPr>
          <w:b/>
          <w:color w:val="FF0000"/>
          <w:lang w:val="en-CA"/>
        </w:rPr>
        <w:t>August</w:t>
      </w:r>
      <w:r w:rsidR="005208F6">
        <w:rPr>
          <w:b/>
          <w:color w:val="FF0000"/>
          <w:lang w:val="en-CA"/>
        </w:rPr>
        <w:t xml:space="preserve"> </w:t>
      </w:r>
      <w:r w:rsidR="00E61944">
        <w:rPr>
          <w:b/>
          <w:color w:val="FF0000"/>
          <w:lang w:val="en-CA"/>
        </w:rPr>
        <w:t>1</w:t>
      </w:r>
      <w:r w:rsidR="005208F6">
        <w:rPr>
          <w:b/>
          <w:color w:val="FF0000"/>
          <w:lang w:val="en-CA"/>
        </w:rPr>
        <w:t>7, 2023</w:t>
      </w:r>
      <w:r w:rsidRPr="00B15381">
        <w:rPr>
          <w:b/>
          <w:color w:val="FF0000"/>
          <w:lang w:val="en-CA"/>
        </w:rPr>
        <w:t xml:space="preserve"> </w:t>
      </w:r>
      <w:r w:rsidR="009712B7">
        <w:rPr>
          <w:b/>
          <w:lang w:val="en-CA"/>
        </w:rPr>
        <w:t xml:space="preserve">to </w:t>
      </w:r>
      <w:hyperlink r:id="rId8" w:history="1">
        <w:r w:rsidR="009712B7" w:rsidRPr="00403A58">
          <w:rPr>
            <w:rStyle w:val="Hyperlink"/>
            <w:b/>
          </w:rPr>
          <w:t>engagement@ieso.ca</w:t>
        </w:r>
      </w:hyperlink>
      <w:r w:rsidR="009712B7">
        <w:rPr>
          <w:b/>
          <w:lang w:val="en-CA"/>
        </w:rPr>
        <w:t xml:space="preserve">. </w:t>
      </w:r>
      <w:r w:rsidRPr="00CF0207">
        <w:rPr>
          <w:lang w:val="en-CA"/>
        </w:rPr>
        <w:t xml:space="preserve">Please use subject header: </w:t>
      </w:r>
      <w:r w:rsidR="00E61944">
        <w:rPr>
          <w:i/>
          <w:lang w:val="en-CA"/>
        </w:rPr>
        <w:t>DER Scenarios &amp; Modelling Study</w:t>
      </w:r>
      <w:r w:rsidRPr="00CF0207">
        <w:rPr>
          <w:lang w:val="en-CA"/>
        </w:rPr>
        <w:t xml:space="preserve">. To promote transparency, this feedback will be posted on the </w:t>
      </w:r>
      <w:hyperlink r:id="rId9" w:history="1">
        <w:r w:rsidR="00E61944">
          <w:rPr>
            <w:rStyle w:val="Hyperlink"/>
          </w:rPr>
          <w:t>IESO York Region Non Wires Alternatives Demonstration Project webpage</w:t>
        </w:r>
      </w:hyperlink>
      <w:r w:rsidR="009712B7">
        <w:rPr>
          <w:lang w:val="en-CA"/>
        </w:rPr>
        <w:t xml:space="preserve"> </w:t>
      </w:r>
      <w:r w:rsidRPr="00CF0207">
        <w:rPr>
          <w:lang w:val="en-CA"/>
        </w:rPr>
        <w:t xml:space="preserve">unless otherwise requested by the sender.  </w:t>
      </w:r>
    </w:p>
    <w:p w14:paraId="694A4399" w14:textId="70150AF8" w:rsidR="00CF0207" w:rsidRPr="00CF0207" w:rsidRDefault="00CF0207" w:rsidP="00CF0207">
      <w:pPr>
        <w:pStyle w:val="BodyText"/>
        <w:rPr>
          <w:lang w:val="en-CA"/>
        </w:rPr>
      </w:pPr>
      <w:r w:rsidRPr="00CF0207">
        <w:rPr>
          <w:lang w:val="en-CA"/>
        </w:rPr>
        <w:t xml:space="preserve">The IESO will work to consider and incorporate comments as appropriate </w:t>
      </w:r>
      <w:r w:rsidR="00A51FA3">
        <w:rPr>
          <w:lang w:val="en-CA"/>
        </w:rPr>
        <w:t>in the final DER Scenarios and Modelling Study report</w:t>
      </w:r>
      <w:r w:rsidRPr="00CF0207">
        <w:rPr>
          <w:lang w:val="en-CA"/>
        </w:rPr>
        <w:t>.</w:t>
      </w:r>
      <w:r w:rsidR="009B70D1">
        <w:rPr>
          <w:lang w:val="en-CA"/>
        </w:rPr>
        <w:t xml:space="preserve"> </w:t>
      </w:r>
      <w:r w:rsidRPr="00CF0207">
        <w:rPr>
          <w:lang w:val="en-CA"/>
        </w:rPr>
        <w:t xml:space="preserve">Thank you for your </w:t>
      </w:r>
      <w:r w:rsidR="00337C4D">
        <w:rPr>
          <w:lang w:val="en-CA"/>
        </w:rPr>
        <w:t>contribution</w:t>
      </w:r>
      <w:r w:rsidRPr="00CF0207">
        <w:rPr>
          <w:lang w:val="en-CA"/>
        </w:rPr>
        <w:t>.</w:t>
      </w:r>
    </w:p>
    <w:p w14:paraId="61103FFD" w14:textId="77777777" w:rsidR="00E81A05" w:rsidRDefault="00E81A05">
      <w:pPr>
        <w:spacing w:after="0" w:line="240" w:lineRule="auto"/>
        <w:rPr>
          <w:rFonts w:eastAsiaTheme="majorEastAsia" w:cs="Times New Roman (Headings CS)"/>
          <w:color w:val="003366" w:themeColor="text2"/>
          <w:kern w:val="2"/>
          <w:sz w:val="28"/>
          <w:szCs w:val="26"/>
          <w14:ligatures w14:val="standard"/>
          <w14:numForm w14:val="lining"/>
          <w14:numSpacing w14:val="tabular"/>
        </w:rPr>
      </w:pPr>
      <w:bookmarkStart w:id="1" w:name="_Toc35868671"/>
      <w:r>
        <w:br w:type="page"/>
      </w:r>
    </w:p>
    <w:p w14:paraId="1145FCD5" w14:textId="1421A953" w:rsidR="005B76D4" w:rsidRPr="004200EA" w:rsidRDefault="005B76D4" w:rsidP="005B76D4">
      <w:pPr>
        <w:pStyle w:val="Heading3"/>
      </w:pPr>
      <w:r>
        <w:lastRenderedPageBreak/>
        <w:t>Specific Questions for Comment/Feedback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7B37E2F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3BBF7AB0" w14:textId="77777777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BD28E8D" w14:textId="77777777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27149DD1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5BFC8513" w14:textId="75FB5657" w:rsidR="00F879DD" w:rsidRPr="006025AB" w:rsidRDefault="00147A2C" w:rsidP="00A44B75">
            <w:pPr>
              <w:spacing w:after="0" w:line="240" w:lineRule="auto"/>
              <w:ind w:right="72"/>
            </w:pPr>
            <w:r w:rsidRPr="00147A2C">
              <w:t>What do you see as the benefits and challenges associated with DERs "stacking" distribution and wholesale services?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18A05FE" w14:textId="77777777" w:rsidR="004200EA" w:rsidRPr="006D7540" w:rsidRDefault="004200EA" w:rsidP="00DC09F6">
            <w:pPr>
              <w:pStyle w:val="TableNumeralsLeftAlignment"/>
            </w:pPr>
          </w:p>
        </w:tc>
      </w:tr>
      <w:tr w:rsidR="00B87823" w:rsidRPr="006B7128" w14:paraId="67C03CA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7D31E32" w14:textId="0FC7AA8D" w:rsidR="006025AB" w:rsidRPr="002A2E7E" w:rsidRDefault="00147A2C" w:rsidP="00A44B75">
            <w:pPr>
              <w:spacing w:after="0" w:line="240" w:lineRule="auto"/>
              <w:ind w:right="72"/>
            </w:pPr>
            <w:r w:rsidRPr="00147A2C">
              <w:rPr>
                <w:lang w:val="en-US"/>
              </w:rPr>
              <w:t>In your assessment, how significant is the opportunity to use DER as NWA</w:t>
            </w:r>
            <w:r w:rsidR="00384764">
              <w:rPr>
                <w:lang w:val="en-US"/>
              </w:rPr>
              <w:t xml:space="preserve"> </w:t>
            </w:r>
            <w:r w:rsidR="00384764" w:rsidRPr="00384764">
              <w:rPr>
                <w:lang w:val="en-US"/>
              </w:rPr>
              <w:t>(i.e., providing distribution services to defer traditional distribution investments)</w:t>
            </w:r>
            <w:r w:rsidRPr="00147A2C">
              <w:rPr>
                <w:lang w:val="en-US"/>
              </w:rPr>
              <w:t>? What do you expect the scale and pace to be?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93A2C3F" w14:textId="77777777" w:rsidR="00B87823" w:rsidRPr="006D7540" w:rsidRDefault="00B87823" w:rsidP="00DC09F6">
            <w:pPr>
              <w:pStyle w:val="TableNumeralsLeftAlignment"/>
            </w:pPr>
          </w:p>
        </w:tc>
      </w:tr>
      <w:tr w:rsidR="009B70D1" w:rsidRPr="006B7128" w14:paraId="03282027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33E0BD70" w14:textId="60E9C869" w:rsidR="009B70D1" w:rsidRPr="009B70D1" w:rsidRDefault="00147A2C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147A2C">
              <w:rPr>
                <w:lang w:val="en-US"/>
              </w:rPr>
              <w:t>Do the protocols outlined in the study provide sufficient detail and clarity in order to further evaluate the coordination models?</w:t>
            </w:r>
            <w:r w:rsidR="00384764">
              <w:rPr>
                <w:lang w:val="en-US"/>
              </w:rPr>
              <w:t xml:space="preserve"> </w:t>
            </w:r>
            <w:r w:rsidR="00384764" w:rsidRPr="00384764">
              <w:rPr>
                <w:lang w:val="en-US"/>
              </w:rPr>
              <w:t>What additional details and/or protocols (if any) would be beneficial?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D03FB0" w14:textId="77777777" w:rsidR="009B70D1" w:rsidRPr="006D7540" w:rsidRDefault="009B70D1" w:rsidP="00DC09F6">
            <w:pPr>
              <w:pStyle w:val="TableNumeralsLeftAlignment"/>
            </w:pPr>
          </w:p>
        </w:tc>
      </w:tr>
      <w:tr w:rsidR="00147A2C" w:rsidRPr="006B7128" w14:paraId="69E9AF3F" w14:textId="77777777" w:rsidTr="00B15381">
        <w:trPr>
          <w:cantSplit/>
          <w:trHeight w:val="751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7BD17B6B" w14:textId="096FB19F" w:rsidR="00147A2C" w:rsidRPr="00147A2C" w:rsidRDefault="00147A2C" w:rsidP="00A44B75">
            <w:pPr>
              <w:spacing w:after="0" w:line="240" w:lineRule="auto"/>
              <w:ind w:right="72"/>
              <w:rPr>
                <w:lang w:val="en-US"/>
              </w:rPr>
            </w:pPr>
            <w:r w:rsidRPr="00147A2C">
              <w:rPr>
                <w:lang w:val="en-US"/>
              </w:rPr>
              <w:t xml:space="preserve">Does the study's modelling component provide </w:t>
            </w:r>
            <w:r w:rsidR="00384764">
              <w:rPr>
                <w:lang w:val="en-US"/>
              </w:rPr>
              <w:t xml:space="preserve">sufficient </w:t>
            </w:r>
            <w:r w:rsidRPr="00147A2C">
              <w:rPr>
                <w:lang w:val="en-US"/>
              </w:rPr>
              <w:t>assurance of the feasibility of using DER for distribution and wholesale services? What additional modelling (if any) would be beneficial?</w:t>
            </w: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E78C350" w14:textId="77777777" w:rsidR="00147A2C" w:rsidRPr="006D7540" w:rsidRDefault="00147A2C" w:rsidP="00DC09F6">
            <w:pPr>
              <w:pStyle w:val="TableNumeralsLeftAlignment"/>
            </w:pPr>
          </w:p>
        </w:tc>
      </w:tr>
    </w:tbl>
    <w:bookmarkEnd w:id="1"/>
    <w:p w14:paraId="7F12025F" w14:textId="77777777" w:rsidR="00C43D12" w:rsidRDefault="00C43D12" w:rsidP="00C43D12">
      <w:pPr>
        <w:pStyle w:val="Heading3"/>
      </w:pPr>
      <w:r>
        <w:t>General Comments/Feedback</w:t>
      </w:r>
    </w:p>
    <w:p w14:paraId="70F1EC72" w14:textId="77777777" w:rsidR="00C43D12" w:rsidRPr="003B554C" w:rsidRDefault="00C43D12" w:rsidP="00C43D12">
      <w:pPr>
        <w:pStyle w:val="BodyText"/>
      </w:pPr>
    </w:p>
    <w:sectPr w:rsidR="00C43D12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42D6" w14:textId="77777777" w:rsidR="009F36D9" w:rsidRDefault="009F36D9" w:rsidP="00F83314">
      <w:r>
        <w:separator/>
      </w:r>
    </w:p>
    <w:p w14:paraId="76CAF251" w14:textId="77777777" w:rsidR="009F36D9" w:rsidRDefault="009F36D9"/>
  </w:endnote>
  <w:endnote w:type="continuationSeparator" w:id="0">
    <w:p w14:paraId="548F2146" w14:textId="77777777" w:rsidR="009F36D9" w:rsidRDefault="009F36D9" w:rsidP="00F83314">
      <w:r>
        <w:continuationSeparator/>
      </w:r>
    </w:p>
    <w:p w14:paraId="11FC61FC" w14:textId="77777777" w:rsidR="009F36D9" w:rsidRDefault="009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B13A0" w14:textId="4A6F9C8C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C361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DCA18F" w14:textId="44F84E93" w:rsidR="00C6016F" w:rsidRDefault="00637A45" w:rsidP="00871E07">
    <w:pPr>
      <w:pStyle w:val="Footer"/>
      <w:ind w:right="360"/>
    </w:pPr>
    <w:r>
      <w:t>IESO York Region Non-Wires Alternatives Demonstration Project</w:t>
    </w:r>
    <w:r w:rsidR="00FC7434">
      <w:t xml:space="preserve">, </w:t>
    </w:r>
    <w:r>
      <w:t>27</w:t>
    </w:r>
    <w:r w:rsidR="00FC7434">
      <w:t>/</w:t>
    </w:r>
    <w:r>
      <w:t>July</w:t>
    </w:r>
    <w:r w:rsidR="00FC7434">
      <w:t>/</w:t>
    </w:r>
    <w:r w:rsidR="005208F6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7AF3" w14:textId="677C0C6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02C62699" wp14:editId="06C35D61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1C361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74CBB" w14:textId="77777777" w:rsidR="009F36D9" w:rsidRDefault="009F36D9">
      <w:r>
        <w:separator/>
      </w:r>
    </w:p>
  </w:footnote>
  <w:footnote w:type="continuationSeparator" w:id="0">
    <w:p w14:paraId="0F5EB7A8" w14:textId="77777777" w:rsidR="009F36D9" w:rsidRDefault="009F36D9" w:rsidP="00F83314">
      <w:r>
        <w:continuationSeparator/>
      </w:r>
    </w:p>
    <w:p w14:paraId="3FB86061" w14:textId="77777777" w:rsidR="009F36D9" w:rsidRDefault="009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17017E"/>
    <w:multiLevelType w:val="hybridMultilevel"/>
    <w:tmpl w:val="F40E41BE"/>
    <w:lvl w:ilvl="0" w:tplc="A1AE2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8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C8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8C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0C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5386D62"/>
    <w:multiLevelType w:val="hybridMultilevel"/>
    <w:tmpl w:val="2BDAA5DC"/>
    <w:lvl w:ilvl="0" w:tplc="9878A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5249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D644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06ABD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486A7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0A4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128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F14D1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EC36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05F95187"/>
    <w:multiLevelType w:val="hybridMultilevel"/>
    <w:tmpl w:val="03067464"/>
    <w:lvl w:ilvl="0" w:tplc="B3F0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A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CE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A0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B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2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81471A"/>
    <w:multiLevelType w:val="hybridMultilevel"/>
    <w:tmpl w:val="C2CCBFAE"/>
    <w:lvl w:ilvl="0" w:tplc="0CF2E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DFC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0149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44404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E5E4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E6C6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C3A3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1247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F827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19FC0233"/>
    <w:multiLevelType w:val="hybridMultilevel"/>
    <w:tmpl w:val="29B699FE"/>
    <w:lvl w:ilvl="0" w:tplc="250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AE8B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9902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806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485D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3F6BF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CCD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5A1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664FF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4908FC"/>
    <w:multiLevelType w:val="hybridMultilevel"/>
    <w:tmpl w:val="D902D936"/>
    <w:lvl w:ilvl="0" w:tplc="973A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86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9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2E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C7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C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618D6"/>
    <w:multiLevelType w:val="hybridMultilevel"/>
    <w:tmpl w:val="09D6A1AA"/>
    <w:lvl w:ilvl="0" w:tplc="6AEA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3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1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8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39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C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CD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26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F0951"/>
    <w:multiLevelType w:val="hybridMultilevel"/>
    <w:tmpl w:val="347E3466"/>
    <w:lvl w:ilvl="0" w:tplc="9DCE9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2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6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8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46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0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E3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BB3C1E"/>
    <w:multiLevelType w:val="hybridMultilevel"/>
    <w:tmpl w:val="232A8510"/>
    <w:lvl w:ilvl="0" w:tplc="1E5E7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CE7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A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4A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C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C8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EE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92B87"/>
    <w:multiLevelType w:val="hybridMultilevel"/>
    <w:tmpl w:val="43384C5E"/>
    <w:lvl w:ilvl="0" w:tplc="3E8AC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A5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A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0E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C3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C5490"/>
    <w:multiLevelType w:val="hybridMultilevel"/>
    <w:tmpl w:val="E4AE6AE4"/>
    <w:lvl w:ilvl="0" w:tplc="2F5A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A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6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C5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4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CA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8F50FE"/>
    <w:multiLevelType w:val="hybridMultilevel"/>
    <w:tmpl w:val="D47AEA66"/>
    <w:lvl w:ilvl="0" w:tplc="E66C3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00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E8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B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8F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4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D862F7"/>
    <w:multiLevelType w:val="hybridMultilevel"/>
    <w:tmpl w:val="C83085A2"/>
    <w:lvl w:ilvl="0" w:tplc="1A4C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4A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E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0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0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0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0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2C35EF"/>
    <w:multiLevelType w:val="hybridMultilevel"/>
    <w:tmpl w:val="A7D63C74"/>
    <w:lvl w:ilvl="0" w:tplc="BB36A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D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2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E2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0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EB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A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20"/>
  </w:num>
  <w:num w:numId="11">
    <w:abstractNumId w:val="21"/>
  </w:num>
  <w:num w:numId="12">
    <w:abstractNumId w:val="14"/>
  </w:num>
  <w:num w:numId="13">
    <w:abstractNumId w:val="23"/>
  </w:num>
  <w:num w:numId="14">
    <w:abstractNumId w:val="19"/>
  </w:num>
  <w:num w:numId="15">
    <w:abstractNumId w:val="16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8"/>
  </w:num>
  <w:num w:numId="2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0794"/>
    <w:rsid w:val="00027E00"/>
    <w:rsid w:val="00031023"/>
    <w:rsid w:val="00032FAC"/>
    <w:rsid w:val="0003386C"/>
    <w:rsid w:val="000424C0"/>
    <w:rsid w:val="00043811"/>
    <w:rsid w:val="00050A11"/>
    <w:rsid w:val="00050EB5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382A"/>
    <w:rsid w:val="000C4332"/>
    <w:rsid w:val="000C6558"/>
    <w:rsid w:val="000F12F2"/>
    <w:rsid w:val="000F55DA"/>
    <w:rsid w:val="000F62EF"/>
    <w:rsid w:val="00122D98"/>
    <w:rsid w:val="00123B6F"/>
    <w:rsid w:val="00134223"/>
    <w:rsid w:val="00147A2C"/>
    <w:rsid w:val="00156915"/>
    <w:rsid w:val="00164724"/>
    <w:rsid w:val="001708DC"/>
    <w:rsid w:val="00180C5F"/>
    <w:rsid w:val="00191D1F"/>
    <w:rsid w:val="00197EE4"/>
    <w:rsid w:val="001A100E"/>
    <w:rsid w:val="001B31FB"/>
    <w:rsid w:val="001B5068"/>
    <w:rsid w:val="001B6240"/>
    <w:rsid w:val="001C122B"/>
    <w:rsid w:val="001C361B"/>
    <w:rsid w:val="001E501C"/>
    <w:rsid w:val="001F21B1"/>
    <w:rsid w:val="002040D1"/>
    <w:rsid w:val="00206BC2"/>
    <w:rsid w:val="00213088"/>
    <w:rsid w:val="00213218"/>
    <w:rsid w:val="002206A7"/>
    <w:rsid w:val="002273F3"/>
    <w:rsid w:val="00230E09"/>
    <w:rsid w:val="00235EFD"/>
    <w:rsid w:val="00245326"/>
    <w:rsid w:val="00246D29"/>
    <w:rsid w:val="002529F2"/>
    <w:rsid w:val="00252FA6"/>
    <w:rsid w:val="00255139"/>
    <w:rsid w:val="0025574E"/>
    <w:rsid w:val="0025740E"/>
    <w:rsid w:val="00271D4B"/>
    <w:rsid w:val="00272F96"/>
    <w:rsid w:val="00276E79"/>
    <w:rsid w:val="002835B9"/>
    <w:rsid w:val="0029171F"/>
    <w:rsid w:val="002A2E7E"/>
    <w:rsid w:val="002A4F50"/>
    <w:rsid w:val="002B2B29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36A00"/>
    <w:rsid w:val="00337C4D"/>
    <w:rsid w:val="0034014B"/>
    <w:rsid w:val="003401DB"/>
    <w:rsid w:val="003428C3"/>
    <w:rsid w:val="00343580"/>
    <w:rsid w:val="003543AA"/>
    <w:rsid w:val="0035658F"/>
    <w:rsid w:val="003565EA"/>
    <w:rsid w:val="00371357"/>
    <w:rsid w:val="00374220"/>
    <w:rsid w:val="0037600B"/>
    <w:rsid w:val="003772C4"/>
    <w:rsid w:val="00383086"/>
    <w:rsid w:val="00384764"/>
    <w:rsid w:val="00390B42"/>
    <w:rsid w:val="00391AA6"/>
    <w:rsid w:val="003A6A37"/>
    <w:rsid w:val="003B3F9A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03A58"/>
    <w:rsid w:val="0040480E"/>
    <w:rsid w:val="004108F9"/>
    <w:rsid w:val="004200EA"/>
    <w:rsid w:val="0042208A"/>
    <w:rsid w:val="00424BA0"/>
    <w:rsid w:val="00426D11"/>
    <w:rsid w:val="00431264"/>
    <w:rsid w:val="00456376"/>
    <w:rsid w:val="00482219"/>
    <w:rsid w:val="00497849"/>
    <w:rsid w:val="004A0CDB"/>
    <w:rsid w:val="004C1610"/>
    <w:rsid w:val="004D5A69"/>
    <w:rsid w:val="004D7C5F"/>
    <w:rsid w:val="004E0F5C"/>
    <w:rsid w:val="004F115E"/>
    <w:rsid w:val="00500AC6"/>
    <w:rsid w:val="00502752"/>
    <w:rsid w:val="005066CE"/>
    <w:rsid w:val="005208F6"/>
    <w:rsid w:val="00523A2D"/>
    <w:rsid w:val="005250E4"/>
    <w:rsid w:val="00530C7D"/>
    <w:rsid w:val="00536D37"/>
    <w:rsid w:val="00540C81"/>
    <w:rsid w:val="00546F8B"/>
    <w:rsid w:val="00570A60"/>
    <w:rsid w:val="00571735"/>
    <w:rsid w:val="00573F2B"/>
    <w:rsid w:val="0057575C"/>
    <w:rsid w:val="00575A86"/>
    <w:rsid w:val="00575FBB"/>
    <w:rsid w:val="00581BCC"/>
    <w:rsid w:val="00585866"/>
    <w:rsid w:val="00586D7F"/>
    <w:rsid w:val="00592798"/>
    <w:rsid w:val="0059293A"/>
    <w:rsid w:val="0059295B"/>
    <w:rsid w:val="005A3D2D"/>
    <w:rsid w:val="005A5558"/>
    <w:rsid w:val="005A5723"/>
    <w:rsid w:val="005A5EF9"/>
    <w:rsid w:val="005B341A"/>
    <w:rsid w:val="005B38FB"/>
    <w:rsid w:val="005B7051"/>
    <w:rsid w:val="005B76D4"/>
    <w:rsid w:val="005C345A"/>
    <w:rsid w:val="005D0417"/>
    <w:rsid w:val="005D2458"/>
    <w:rsid w:val="005D6B0E"/>
    <w:rsid w:val="005E0602"/>
    <w:rsid w:val="005F4CFF"/>
    <w:rsid w:val="005F63C9"/>
    <w:rsid w:val="005F73E2"/>
    <w:rsid w:val="006025AB"/>
    <w:rsid w:val="00603F19"/>
    <w:rsid w:val="00607A0B"/>
    <w:rsid w:val="00615CDC"/>
    <w:rsid w:val="00617A9E"/>
    <w:rsid w:val="006246D3"/>
    <w:rsid w:val="00624AEC"/>
    <w:rsid w:val="00625442"/>
    <w:rsid w:val="006259BB"/>
    <w:rsid w:val="0063312A"/>
    <w:rsid w:val="00634B18"/>
    <w:rsid w:val="00635B4C"/>
    <w:rsid w:val="00637A45"/>
    <w:rsid w:val="006635D9"/>
    <w:rsid w:val="0066614A"/>
    <w:rsid w:val="0067615F"/>
    <w:rsid w:val="00676421"/>
    <w:rsid w:val="00683AC9"/>
    <w:rsid w:val="006A5E35"/>
    <w:rsid w:val="006B0978"/>
    <w:rsid w:val="006B7BD7"/>
    <w:rsid w:val="006C43C7"/>
    <w:rsid w:val="006D1C41"/>
    <w:rsid w:val="006E0323"/>
    <w:rsid w:val="006E276D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423B"/>
    <w:rsid w:val="00744F86"/>
    <w:rsid w:val="00750BE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1D86"/>
    <w:rsid w:val="007D7593"/>
    <w:rsid w:val="007E2315"/>
    <w:rsid w:val="007E673E"/>
    <w:rsid w:val="007F4FC9"/>
    <w:rsid w:val="00803BF6"/>
    <w:rsid w:val="00821FD8"/>
    <w:rsid w:val="00823D2B"/>
    <w:rsid w:val="00831390"/>
    <w:rsid w:val="00836072"/>
    <w:rsid w:val="0084165E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62BC"/>
    <w:rsid w:val="00937211"/>
    <w:rsid w:val="00940A1F"/>
    <w:rsid w:val="00945BC3"/>
    <w:rsid w:val="00953E44"/>
    <w:rsid w:val="00956691"/>
    <w:rsid w:val="00966F34"/>
    <w:rsid w:val="009705C0"/>
    <w:rsid w:val="009712B7"/>
    <w:rsid w:val="00974D20"/>
    <w:rsid w:val="00991A11"/>
    <w:rsid w:val="00991B27"/>
    <w:rsid w:val="00991B46"/>
    <w:rsid w:val="00992C6F"/>
    <w:rsid w:val="009A702B"/>
    <w:rsid w:val="009B0889"/>
    <w:rsid w:val="009B09EE"/>
    <w:rsid w:val="009B6BAE"/>
    <w:rsid w:val="009B70D1"/>
    <w:rsid w:val="009C2ACE"/>
    <w:rsid w:val="009E2295"/>
    <w:rsid w:val="009E31D3"/>
    <w:rsid w:val="009F36D9"/>
    <w:rsid w:val="00A0005D"/>
    <w:rsid w:val="00A00B71"/>
    <w:rsid w:val="00A047A0"/>
    <w:rsid w:val="00A12326"/>
    <w:rsid w:val="00A315B3"/>
    <w:rsid w:val="00A4096B"/>
    <w:rsid w:val="00A44B75"/>
    <w:rsid w:val="00A51FA3"/>
    <w:rsid w:val="00A57C08"/>
    <w:rsid w:val="00A60FEE"/>
    <w:rsid w:val="00A677AB"/>
    <w:rsid w:val="00A7072C"/>
    <w:rsid w:val="00A71078"/>
    <w:rsid w:val="00A71F50"/>
    <w:rsid w:val="00A74A06"/>
    <w:rsid w:val="00A76E31"/>
    <w:rsid w:val="00A804BB"/>
    <w:rsid w:val="00A84F79"/>
    <w:rsid w:val="00A86619"/>
    <w:rsid w:val="00A91F80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4E98"/>
    <w:rsid w:val="00B04816"/>
    <w:rsid w:val="00B141CC"/>
    <w:rsid w:val="00B15381"/>
    <w:rsid w:val="00B15B1B"/>
    <w:rsid w:val="00B164DB"/>
    <w:rsid w:val="00B27004"/>
    <w:rsid w:val="00B44D93"/>
    <w:rsid w:val="00B45BE4"/>
    <w:rsid w:val="00B547BA"/>
    <w:rsid w:val="00B54E3D"/>
    <w:rsid w:val="00B55305"/>
    <w:rsid w:val="00B71683"/>
    <w:rsid w:val="00B81E1D"/>
    <w:rsid w:val="00B87823"/>
    <w:rsid w:val="00B94249"/>
    <w:rsid w:val="00BC1CD2"/>
    <w:rsid w:val="00BC6A57"/>
    <w:rsid w:val="00BC6DBE"/>
    <w:rsid w:val="00BC73F3"/>
    <w:rsid w:val="00BD2DA0"/>
    <w:rsid w:val="00BE4AA6"/>
    <w:rsid w:val="00BE4D1D"/>
    <w:rsid w:val="00BE558C"/>
    <w:rsid w:val="00BF2E6E"/>
    <w:rsid w:val="00BF6E43"/>
    <w:rsid w:val="00C01175"/>
    <w:rsid w:val="00C04795"/>
    <w:rsid w:val="00C30B76"/>
    <w:rsid w:val="00C31D32"/>
    <w:rsid w:val="00C36722"/>
    <w:rsid w:val="00C370C7"/>
    <w:rsid w:val="00C37949"/>
    <w:rsid w:val="00C41FBE"/>
    <w:rsid w:val="00C439AF"/>
    <w:rsid w:val="00C43D12"/>
    <w:rsid w:val="00C44BC7"/>
    <w:rsid w:val="00C51A91"/>
    <w:rsid w:val="00C536BB"/>
    <w:rsid w:val="00C57D67"/>
    <w:rsid w:val="00C6016F"/>
    <w:rsid w:val="00C65893"/>
    <w:rsid w:val="00C7071C"/>
    <w:rsid w:val="00C76B1E"/>
    <w:rsid w:val="00C960F7"/>
    <w:rsid w:val="00CA56A3"/>
    <w:rsid w:val="00CC5376"/>
    <w:rsid w:val="00CD06BE"/>
    <w:rsid w:val="00CD26E7"/>
    <w:rsid w:val="00CE0767"/>
    <w:rsid w:val="00CE3824"/>
    <w:rsid w:val="00CE3D01"/>
    <w:rsid w:val="00CF0207"/>
    <w:rsid w:val="00CF5EE0"/>
    <w:rsid w:val="00D10DA4"/>
    <w:rsid w:val="00D14734"/>
    <w:rsid w:val="00D2041D"/>
    <w:rsid w:val="00D258A0"/>
    <w:rsid w:val="00D26C05"/>
    <w:rsid w:val="00D3082F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77A14"/>
    <w:rsid w:val="00D907E6"/>
    <w:rsid w:val="00D91B48"/>
    <w:rsid w:val="00D93CA5"/>
    <w:rsid w:val="00DA301F"/>
    <w:rsid w:val="00DA3F0F"/>
    <w:rsid w:val="00DA4168"/>
    <w:rsid w:val="00DA6AC8"/>
    <w:rsid w:val="00DB6BDE"/>
    <w:rsid w:val="00DC09F6"/>
    <w:rsid w:val="00DC2622"/>
    <w:rsid w:val="00DC45E1"/>
    <w:rsid w:val="00DC5459"/>
    <w:rsid w:val="00DD3947"/>
    <w:rsid w:val="00DD5A3D"/>
    <w:rsid w:val="00DE026B"/>
    <w:rsid w:val="00DF2962"/>
    <w:rsid w:val="00E0178C"/>
    <w:rsid w:val="00E07446"/>
    <w:rsid w:val="00E14A79"/>
    <w:rsid w:val="00E153D2"/>
    <w:rsid w:val="00E24C84"/>
    <w:rsid w:val="00E303C3"/>
    <w:rsid w:val="00E31C33"/>
    <w:rsid w:val="00E35F24"/>
    <w:rsid w:val="00E36290"/>
    <w:rsid w:val="00E4085F"/>
    <w:rsid w:val="00E47C5C"/>
    <w:rsid w:val="00E504B1"/>
    <w:rsid w:val="00E54649"/>
    <w:rsid w:val="00E5479C"/>
    <w:rsid w:val="00E61944"/>
    <w:rsid w:val="00E74C15"/>
    <w:rsid w:val="00E74FCC"/>
    <w:rsid w:val="00E75D9A"/>
    <w:rsid w:val="00E80766"/>
    <w:rsid w:val="00E81A05"/>
    <w:rsid w:val="00E823D8"/>
    <w:rsid w:val="00EA1429"/>
    <w:rsid w:val="00EA250A"/>
    <w:rsid w:val="00EA6C90"/>
    <w:rsid w:val="00EB2896"/>
    <w:rsid w:val="00EB5F0D"/>
    <w:rsid w:val="00EB6040"/>
    <w:rsid w:val="00EB7697"/>
    <w:rsid w:val="00EC7B54"/>
    <w:rsid w:val="00EF0A96"/>
    <w:rsid w:val="00EF1F49"/>
    <w:rsid w:val="00F12AD2"/>
    <w:rsid w:val="00F2143E"/>
    <w:rsid w:val="00F217AF"/>
    <w:rsid w:val="00F22E89"/>
    <w:rsid w:val="00F315A0"/>
    <w:rsid w:val="00F40FD7"/>
    <w:rsid w:val="00F42555"/>
    <w:rsid w:val="00F43A30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879DD"/>
    <w:rsid w:val="00F93C15"/>
    <w:rsid w:val="00FA18DA"/>
    <w:rsid w:val="00FB7E99"/>
    <w:rsid w:val="00FC3FA2"/>
    <w:rsid w:val="00FC7434"/>
    <w:rsid w:val="00FC7A2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A9FD5D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F22E89"/>
    <w:rPr>
      <w:rFonts w:eastAsiaTheme="minorEastAsia" w:cs="Tahoma"/>
      <w:color w:val="000000" w:themeColor="text1"/>
      <w:szCs w:val="22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F22E89"/>
    <w:rPr>
      <w:rFonts w:ascii="Tahoma" w:eastAsiaTheme="minorEastAsia" w:hAnsi="Tahoma" w:cs="Tahoma"/>
      <w:color w:val="000000" w:themeColor="text1"/>
      <w:sz w:val="22"/>
      <w:szCs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szCs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eastAsiaTheme="minorEastAsi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szCs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eastAsiaTheme="minorEastAsia" w:hAnsi="Tahoma" w:cs="Times New Roman (Body CS)"/>
      <w:noProof/>
      <w:color w:val="000000" w:themeColor="text1"/>
      <w:sz w:val="22"/>
      <w:szCs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eastAsiaTheme="minorEastAsia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szCs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DC09F6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eastAsiaTheme="minorEastAsi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szCs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51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0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93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92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31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0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0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9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73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95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1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52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28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9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3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3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78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90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70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11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36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5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24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06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67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8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997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71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16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60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1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502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06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9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37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9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36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999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1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ment@ies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IESO-York-Region-Non-Wires-Alternatives-Demonstration-Projec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965B7"/>
    <w:rsid w:val="00523F9F"/>
    <w:rsid w:val="00525F43"/>
    <w:rsid w:val="00814D37"/>
    <w:rsid w:val="00884744"/>
    <w:rsid w:val="00A85B25"/>
    <w:rsid w:val="00B513C0"/>
    <w:rsid w:val="00CD5434"/>
    <w:rsid w:val="00D40372"/>
    <w:rsid w:val="00F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5B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A35E61-8931-4C1A-A426-40BF970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Distributed Energy Resource (DER) Scenarios and Modelling Study for the IESO’s York Region Non-Wires Alternatives (NWAs) Demonstration Project – July 27, 2023 Feedback Form</vt:lpstr>
    </vt:vector>
  </TitlesOfParts>
  <Manager/>
  <Company>Independent Electricity System Operator</Company>
  <LinksUpToDate>false</LinksUpToDate>
  <CharactersWithSpaces>2025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Distributed Energy Resource (DER) Scenarios and Modelling Study for the IESO’s York Region Non-Wires Alternatives (NWAs) Demonstration Project – July 27, 2023 Feedback Form R1</dc:title>
  <dc:subject/>
  <dc:creator>Independent Electricity System Operator (IESO)</dc:creator>
  <cp:keywords/>
  <dc:description/>
  <cp:lastModifiedBy>Daniela Drazic</cp:lastModifiedBy>
  <cp:revision>10</cp:revision>
  <cp:lastPrinted>2020-04-17T18:00:00Z</cp:lastPrinted>
  <dcterms:created xsi:type="dcterms:W3CDTF">2023-07-11T18:04:00Z</dcterms:created>
  <dcterms:modified xsi:type="dcterms:W3CDTF">2023-07-25T15:54:00Z</dcterms:modified>
  <cp:category/>
</cp:coreProperties>
</file>